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21" w:rsidRPr="00650C65" w:rsidRDefault="00F260C1" w:rsidP="00650C65">
      <w:pPr>
        <w:spacing w:line="360" w:lineRule="auto"/>
        <w:jc w:val="center"/>
        <w:rPr>
          <w:rFonts w:ascii="Arial" w:hAnsi="Arial" w:cs="Arial"/>
          <w:b/>
          <w:caps/>
        </w:rPr>
      </w:pPr>
      <w:r w:rsidRPr="00650C65">
        <w:rPr>
          <w:rFonts w:ascii="Arial" w:hAnsi="Arial" w:cs="Arial"/>
          <w:b/>
          <w:caps/>
        </w:rPr>
        <w:t xml:space="preserve">análise Comportamental do endividamento de municípios baianos </w:t>
      </w:r>
      <w:r w:rsidR="00655422" w:rsidRPr="00650C65">
        <w:rPr>
          <w:rFonts w:ascii="Arial" w:hAnsi="Arial" w:cs="Arial"/>
          <w:b/>
          <w:caps/>
        </w:rPr>
        <w:t>entre 2000 a 2013</w:t>
      </w:r>
    </w:p>
    <w:p w:rsidR="00F260C1" w:rsidRPr="00C01DA5" w:rsidRDefault="00F260C1" w:rsidP="00650C65">
      <w:pPr>
        <w:rPr>
          <w:rFonts w:ascii="Arial" w:hAnsi="Arial" w:cs="Arial"/>
        </w:rPr>
      </w:pPr>
    </w:p>
    <w:p w:rsidR="002D0E5A" w:rsidRPr="00C01DA5" w:rsidRDefault="002D0E5A" w:rsidP="00C01DA5">
      <w:pPr>
        <w:jc w:val="right"/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  <w:noProof/>
          <w:sz w:val="20"/>
          <w:szCs w:val="20"/>
        </w:rPr>
        <w:t>Antonio do Carmo Silva Júnior</w:t>
      </w:r>
      <w:r w:rsidR="00B03F36">
        <w:rPr>
          <w:rStyle w:val="Refdenotaderodap"/>
          <w:rFonts w:ascii="Arial" w:hAnsi="Arial" w:cs="Arial"/>
          <w:noProof/>
          <w:sz w:val="20"/>
          <w:szCs w:val="20"/>
        </w:rPr>
        <w:footnoteReference w:id="2"/>
      </w:r>
    </w:p>
    <w:p w:rsidR="002D0E5A" w:rsidRPr="00C01DA5" w:rsidRDefault="002D0E5A" w:rsidP="00C01DA5">
      <w:pPr>
        <w:jc w:val="right"/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  <w:sz w:val="20"/>
          <w:szCs w:val="20"/>
        </w:rPr>
        <w:t>Catiana Santos Andrade</w:t>
      </w:r>
      <w:r w:rsidR="00B03F36">
        <w:rPr>
          <w:rStyle w:val="Refdenotaderodap"/>
          <w:rFonts w:ascii="Arial" w:hAnsi="Arial" w:cs="Arial"/>
          <w:sz w:val="20"/>
          <w:szCs w:val="20"/>
        </w:rPr>
        <w:footnoteReference w:id="3"/>
      </w:r>
    </w:p>
    <w:p w:rsidR="002D0E5A" w:rsidRPr="00C01DA5" w:rsidRDefault="002D0E5A" w:rsidP="00C01DA5">
      <w:pPr>
        <w:jc w:val="right"/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  <w:sz w:val="20"/>
          <w:szCs w:val="20"/>
        </w:rPr>
        <w:t>Hilton Aguiar</w:t>
      </w:r>
      <w:r w:rsidR="00B03F36">
        <w:rPr>
          <w:rStyle w:val="Refdenotaderodap"/>
          <w:rFonts w:ascii="Arial" w:hAnsi="Arial" w:cs="Arial"/>
          <w:sz w:val="20"/>
          <w:szCs w:val="20"/>
        </w:rPr>
        <w:footnoteReference w:id="4"/>
      </w:r>
    </w:p>
    <w:p w:rsidR="005742B1" w:rsidRPr="00C01DA5" w:rsidRDefault="005742B1" w:rsidP="003D3354">
      <w:pPr>
        <w:jc w:val="both"/>
        <w:rPr>
          <w:rFonts w:ascii="Arial" w:hAnsi="Arial" w:cs="Arial"/>
          <w:sz w:val="20"/>
          <w:szCs w:val="20"/>
        </w:rPr>
      </w:pPr>
    </w:p>
    <w:p w:rsidR="00D13F44" w:rsidRPr="00C01DA5" w:rsidRDefault="005742B1" w:rsidP="003D3354">
      <w:pPr>
        <w:pStyle w:val="Ttulo1"/>
        <w:spacing w:before="0" w:after="0"/>
        <w:jc w:val="center"/>
        <w:rPr>
          <w:rFonts w:cs="Arial"/>
          <w:b/>
          <w:sz w:val="20"/>
          <w:szCs w:val="20"/>
        </w:rPr>
      </w:pPr>
      <w:bookmarkStart w:id="0" w:name="_Toc317643856"/>
      <w:r w:rsidRPr="00C01DA5">
        <w:rPr>
          <w:rFonts w:cs="Arial"/>
          <w:b/>
          <w:sz w:val="20"/>
          <w:szCs w:val="20"/>
        </w:rPr>
        <w:t>R</w:t>
      </w:r>
      <w:bookmarkEnd w:id="0"/>
      <w:r w:rsidR="00F260C1" w:rsidRPr="00C01DA5">
        <w:rPr>
          <w:rFonts w:cs="Arial"/>
          <w:b/>
          <w:sz w:val="20"/>
          <w:szCs w:val="20"/>
        </w:rPr>
        <w:t>ESUMO</w:t>
      </w:r>
    </w:p>
    <w:p w:rsidR="00F260C1" w:rsidRPr="00C01DA5" w:rsidRDefault="00F260C1" w:rsidP="00F260C1">
      <w:pPr>
        <w:rPr>
          <w:rFonts w:ascii="Arial" w:hAnsi="Arial" w:cs="Arial"/>
          <w:sz w:val="20"/>
          <w:szCs w:val="20"/>
        </w:rPr>
      </w:pPr>
    </w:p>
    <w:p w:rsidR="00F260C1" w:rsidRPr="00C01DA5" w:rsidRDefault="00F260C1" w:rsidP="00F260C1">
      <w:pPr>
        <w:rPr>
          <w:rFonts w:ascii="Arial" w:hAnsi="Arial" w:cs="Arial"/>
          <w:sz w:val="20"/>
          <w:szCs w:val="20"/>
        </w:rPr>
      </w:pPr>
    </w:p>
    <w:p w:rsidR="005742B1" w:rsidRPr="00C01DA5" w:rsidRDefault="00D13F44" w:rsidP="003D3354">
      <w:pPr>
        <w:pStyle w:val="Ttulo1"/>
        <w:spacing w:before="0" w:after="0"/>
        <w:jc w:val="both"/>
        <w:rPr>
          <w:rFonts w:cs="Arial"/>
          <w:sz w:val="20"/>
          <w:szCs w:val="20"/>
        </w:rPr>
      </w:pPr>
      <w:r w:rsidRPr="00C01DA5">
        <w:rPr>
          <w:rFonts w:cs="Arial"/>
          <w:sz w:val="20"/>
          <w:szCs w:val="20"/>
        </w:rPr>
        <w:t>A Lei de Responsabilidade Fiscal foi introduzida como instituição orçamentária disciplinadora das finanças públicas brasileiras a fim de c</w:t>
      </w:r>
      <w:r w:rsidR="00787E9C" w:rsidRPr="00C01DA5">
        <w:rPr>
          <w:rFonts w:cs="Arial"/>
          <w:sz w:val="20"/>
          <w:szCs w:val="20"/>
        </w:rPr>
        <w:t>onter o endividamento municipal, através da imposição de limites de endividamento.</w:t>
      </w:r>
      <w:r w:rsidRPr="00C01DA5">
        <w:rPr>
          <w:rFonts w:cs="Arial"/>
          <w:sz w:val="20"/>
          <w:szCs w:val="20"/>
        </w:rPr>
        <w:t xml:space="preserve"> </w:t>
      </w:r>
      <w:r w:rsidR="005D2844" w:rsidRPr="00C01DA5">
        <w:rPr>
          <w:rFonts w:cs="Arial"/>
          <w:sz w:val="20"/>
          <w:szCs w:val="20"/>
        </w:rPr>
        <w:t>E</w:t>
      </w:r>
      <w:r w:rsidRPr="00C01DA5">
        <w:rPr>
          <w:rFonts w:cs="Arial"/>
          <w:sz w:val="20"/>
          <w:szCs w:val="20"/>
        </w:rPr>
        <w:t>ste por sua vez, dificulta a atuação dos entes públicos, pois a despesa com juros e serviços da dívida diminui os recursos disponíveis para a exe</w:t>
      </w:r>
      <w:r w:rsidR="00DC3810" w:rsidRPr="00C01DA5">
        <w:rPr>
          <w:rFonts w:cs="Arial"/>
          <w:sz w:val="20"/>
          <w:szCs w:val="20"/>
        </w:rPr>
        <w:t>c</w:t>
      </w:r>
      <w:r w:rsidRPr="00C01DA5">
        <w:rPr>
          <w:rFonts w:cs="Arial"/>
          <w:sz w:val="20"/>
          <w:szCs w:val="20"/>
        </w:rPr>
        <w:t>ução de despesa que geram serviços e bens à sociedade. Desta forma</w:t>
      </w:r>
      <w:r w:rsidR="00F260C1" w:rsidRPr="00C01DA5">
        <w:rPr>
          <w:rFonts w:cs="Arial"/>
          <w:sz w:val="20"/>
          <w:szCs w:val="20"/>
        </w:rPr>
        <w:t>,</w:t>
      </w:r>
      <w:r w:rsidRPr="00C01DA5">
        <w:rPr>
          <w:rFonts w:cs="Arial"/>
          <w:sz w:val="20"/>
          <w:szCs w:val="20"/>
        </w:rPr>
        <w:t xml:space="preserve"> o presente estudo </w:t>
      </w:r>
      <w:r w:rsidR="005D2844" w:rsidRPr="00C01DA5">
        <w:rPr>
          <w:rFonts w:cs="Arial"/>
          <w:sz w:val="20"/>
          <w:szCs w:val="20"/>
        </w:rPr>
        <w:t>objetivo</w:t>
      </w:r>
      <w:r w:rsidR="00787E9C" w:rsidRPr="00C01DA5">
        <w:rPr>
          <w:rFonts w:cs="Arial"/>
          <w:sz w:val="20"/>
          <w:szCs w:val="20"/>
        </w:rPr>
        <w:t xml:space="preserve">u </w:t>
      </w:r>
      <w:r w:rsidR="00260953" w:rsidRPr="00C01DA5">
        <w:rPr>
          <w:rFonts w:cs="Arial"/>
          <w:sz w:val="20"/>
          <w:szCs w:val="20"/>
        </w:rPr>
        <w:t>identificar</w:t>
      </w:r>
      <w:r w:rsidRPr="00C01DA5">
        <w:rPr>
          <w:rFonts w:cs="Arial"/>
          <w:sz w:val="20"/>
          <w:szCs w:val="20"/>
        </w:rPr>
        <w:t xml:space="preserve"> a relação Dívida Fundada Líquida</w:t>
      </w:r>
      <w:r w:rsidR="00787E9C" w:rsidRPr="00C01DA5">
        <w:rPr>
          <w:rFonts w:cs="Arial"/>
          <w:sz w:val="20"/>
          <w:szCs w:val="20"/>
        </w:rPr>
        <w:t>(DFL)</w:t>
      </w:r>
      <w:r w:rsidRPr="00C01DA5">
        <w:rPr>
          <w:rFonts w:cs="Arial"/>
          <w:sz w:val="20"/>
          <w:szCs w:val="20"/>
        </w:rPr>
        <w:t>/R</w:t>
      </w:r>
      <w:r w:rsidR="005D2844" w:rsidRPr="00C01DA5">
        <w:rPr>
          <w:rFonts w:cs="Arial"/>
          <w:sz w:val="20"/>
          <w:szCs w:val="20"/>
        </w:rPr>
        <w:t xml:space="preserve">eceita </w:t>
      </w:r>
      <w:r w:rsidRPr="00C01DA5">
        <w:rPr>
          <w:rFonts w:cs="Arial"/>
          <w:sz w:val="20"/>
          <w:szCs w:val="20"/>
        </w:rPr>
        <w:t>C</w:t>
      </w:r>
      <w:r w:rsidR="005D2844" w:rsidRPr="00C01DA5">
        <w:rPr>
          <w:rFonts w:cs="Arial"/>
          <w:sz w:val="20"/>
          <w:szCs w:val="20"/>
        </w:rPr>
        <w:t xml:space="preserve">orrente </w:t>
      </w:r>
      <w:r w:rsidRPr="00C01DA5">
        <w:rPr>
          <w:rFonts w:cs="Arial"/>
          <w:sz w:val="20"/>
          <w:szCs w:val="20"/>
        </w:rPr>
        <w:t>L</w:t>
      </w:r>
      <w:r w:rsidR="005D2844" w:rsidRPr="00C01DA5">
        <w:rPr>
          <w:rFonts w:cs="Arial"/>
          <w:sz w:val="20"/>
          <w:szCs w:val="20"/>
        </w:rPr>
        <w:t>íquida (RLC)</w:t>
      </w:r>
      <w:r w:rsidRPr="00C01DA5">
        <w:rPr>
          <w:rFonts w:cs="Arial"/>
          <w:sz w:val="20"/>
          <w:szCs w:val="20"/>
        </w:rPr>
        <w:t xml:space="preserve"> dos municípios baianos</w:t>
      </w:r>
      <w:r w:rsidR="005D2844" w:rsidRPr="00C01DA5">
        <w:rPr>
          <w:rFonts w:cs="Arial"/>
          <w:sz w:val="20"/>
          <w:szCs w:val="20"/>
        </w:rPr>
        <w:t>;</w:t>
      </w:r>
      <w:r w:rsidRPr="00C01DA5">
        <w:rPr>
          <w:rFonts w:cs="Arial"/>
          <w:sz w:val="20"/>
          <w:szCs w:val="20"/>
        </w:rPr>
        <w:t xml:space="preserve"> e como objetivos específicos</w:t>
      </w:r>
      <w:r w:rsidRPr="00C01DA5">
        <w:rPr>
          <w:rFonts w:cs="Arial"/>
          <w:b/>
          <w:sz w:val="20"/>
          <w:szCs w:val="20"/>
        </w:rPr>
        <w:t xml:space="preserve"> </w:t>
      </w:r>
      <w:r w:rsidR="005D2844" w:rsidRPr="00C01DA5">
        <w:rPr>
          <w:rFonts w:cs="Arial"/>
          <w:sz w:val="20"/>
          <w:szCs w:val="20"/>
        </w:rPr>
        <w:t>v</w:t>
      </w:r>
      <w:r w:rsidR="00DC3810" w:rsidRPr="00C01DA5">
        <w:rPr>
          <w:rFonts w:cs="Arial"/>
          <w:sz w:val="20"/>
          <w:szCs w:val="20"/>
        </w:rPr>
        <w:t>erifica</w:t>
      </w:r>
      <w:r w:rsidR="005D2844" w:rsidRPr="00C01DA5">
        <w:rPr>
          <w:rFonts w:cs="Arial"/>
          <w:sz w:val="20"/>
          <w:szCs w:val="20"/>
        </w:rPr>
        <w:t>r, a evolução da RCL no período de 2000 até 2013</w:t>
      </w:r>
      <w:r w:rsidR="00787E9C" w:rsidRPr="00C01DA5">
        <w:rPr>
          <w:rFonts w:cs="Arial"/>
          <w:sz w:val="20"/>
          <w:szCs w:val="20"/>
        </w:rPr>
        <w:t>; mensurar a</w:t>
      </w:r>
      <w:r w:rsidR="00DC3810" w:rsidRPr="00C01DA5">
        <w:rPr>
          <w:rFonts w:cs="Arial"/>
          <w:sz w:val="20"/>
          <w:szCs w:val="20"/>
        </w:rPr>
        <w:t xml:space="preserve"> </w:t>
      </w:r>
      <w:r w:rsidR="00787E9C" w:rsidRPr="00C01DA5">
        <w:rPr>
          <w:rFonts w:cs="Arial"/>
          <w:sz w:val="20"/>
          <w:szCs w:val="20"/>
        </w:rPr>
        <w:t>participação das despesas com juros e amortização da dívida, na composição das despesas dos entes</w:t>
      </w:r>
      <w:r w:rsidR="00DC3810" w:rsidRPr="00C01DA5">
        <w:rPr>
          <w:rFonts w:cs="Arial"/>
          <w:sz w:val="20"/>
          <w:szCs w:val="20"/>
        </w:rPr>
        <w:t>. Para identific</w:t>
      </w:r>
      <w:r w:rsidR="00FF1C44" w:rsidRPr="00C01DA5">
        <w:rPr>
          <w:rFonts w:cs="Arial"/>
          <w:sz w:val="20"/>
          <w:szCs w:val="20"/>
        </w:rPr>
        <w:t>ar tais índices foi</w:t>
      </w:r>
      <w:r w:rsidR="00DC3810" w:rsidRPr="00C01DA5">
        <w:rPr>
          <w:rFonts w:cs="Arial"/>
          <w:sz w:val="20"/>
          <w:szCs w:val="20"/>
        </w:rPr>
        <w:t xml:space="preserve"> utilizado o Sistema de Coleta de Dados Contábeis dos Entes da Federação (SISTN), da Secretaria do Tesouro Nacional (STN), sendo utilizada análise estatística no tratamento dos dados coletados.</w:t>
      </w:r>
      <w:r w:rsidR="00787E9C" w:rsidRPr="00C01DA5">
        <w:rPr>
          <w:rFonts w:cs="Arial"/>
          <w:sz w:val="20"/>
          <w:szCs w:val="20"/>
        </w:rPr>
        <w:t xml:space="preserve"> Pode-se afirmar que a partir de 2000, houve significativa redução da relação DFL/RCL, na maioria dos municípios pesquisados, e que além do controle do estoque da dívida, al longo desses anos houve um incremento na RCL o que influenciou positivamente na manutenção dos índices de endividamento dentro dos limites legais.</w:t>
      </w:r>
    </w:p>
    <w:p w:rsidR="0003226F" w:rsidRPr="00C01DA5" w:rsidRDefault="0003226F" w:rsidP="003D3354">
      <w:pPr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  <w:b/>
          <w:sz w:val="20"/>
          <w:szCs w:val="20"/>
        </w:rPr>
        <w:t>Palavras-chave:</w:t>
      </w:r>
      <w:r w:rsidR="00FF1C44" w:rsidRPr="00C01DA5">
        <w:rPr>
          <w:rFonts w:ascii="Arial" w:hAnsi="Arial" w:cs="Arial"/>
          <w:sz w:val="20"/>
          <w:szCs w:val="20"/>
        </w:rPr>
        <w:t xml:space="preserve"> Endividamento.</w:t>
      </w:r>
      <w:r w:rsidRPr="00C01DA5">
        <w:rPr>
          <w:rFonts w:ascii="Arial" w:hAnsi="Arial" w:cs="Arial"/>
          <w:sz w:val="20"/>
          <w:szCs w:val="20"/>
        </w:rPr>
        <w:t xml:space="preserve"> L</w:t>
      </w:r>
      <w:r w:rsidR="00AB11DE" w:rsidRPr="00C01DA5">
        <w:rPr>
          <w:rFonts w:ascii="Arial" w:hAnsi="Arial" w:cs="Arial"/>
          <w:sz w:val="20"/>
          <w:szCs w:val="20"/>
        </w:rPr>
        <w:t>ei de Responsabilidade Fiscal.</w:t>
      </w:r>
      <w:r w:rsidR="00FF1C44" w:rsidRPr="00C01DA5">
        <w:rPr>
          <w:rFonts w:ascii="Arial" w:hAnsi="Arial" w:cs="Arial"/>
          <w:sz w:val="20"/>
          <w:szCs w:val="20"/>
        </w:rPr>
        <w:t xml:space="preserve"> Divida Pública.</w:t>
      </w:r>
    </w:p>
    <w:p w:rsidR="00FF1C44" w:rsidRPr="00C01DA5" w:rsidRDefault="00FF1C44" w:rsidP="00FF1C44">
      <w:pPr>
        <w:pStyle w:val="PargrafodaLista"/>
        <w:spacing w:after="0" w:line="480" w:lineRule="auto"/>
        <w:ind w:left="0"/>
        <w:outlineLvl w:val="0"/>
        <w:rPr>
          <w:rFonts w:ascii="Arial" w:eastAsia="Times New Roman" w:hAnsi="Arial" w:cs="Arial"/>
          <w:sz w:val="20"/>
          <w:szCs w:val="20"/>
          <w:lang w:eastAsia="pt-BR"/>
        </w:rPr>
      </w:pPr>
    </w:p>
    <w:p w:rsidR="00C01DA5" w:rsidRPr="00C01DA5" w:rsidRDefault="00C01DA5" w:rsidP="00C01DA5">
      <w:pPr>
        <w:pStyle w:val="PargrafodaLista"/>
        <w:spacing w:after="0" w:line="480" w:lineRule="auto"/>
        <w:ind w:left="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C01DA5">
        <w:rPr>
          <w:rFonts w:ascii="Arial" w:eastAsia="Times New Roman" w:hAnsi="Arial" w:cs="Arial"/>
          <w:b/>
          <w:sz w:val="20"/>
          <w:szCs w:val="20"/>
          <w:lang w:eastAsia="pt-BR"/>
        </w:rPr>
        <w:t>ABSTRACT</w:t>
      </w:r>
    </w:p>
    <w:p w:rsidR="00C01DA5" w:rsidRPr="00C01DA5" w:rsidRDefault="00C01DA5" w:rsidP="00825441">
      <w:pPr>
        <w:jc w:val="both"/>
        <w:rPr>
          <w:rFonts w:ascii="Arial" w:hAnsi="Arial" w:cs="Arial"/>
          <w:sz w:val="20"/>
          <w:szCs w:val="20"/>
        </w:rPr>
      </w:pPr>
      <w:r w:rsidRPr="00C01DA5">
        <w:rPr>
          <w:rStyle w:val="hps"/>
          <w:rFonts w:ascii="Arial" w:hAnsi="Arial" w:cs="Arial"/>
          <w:sz w:val="20"/>
          <w:szCs w:val="20"/>
          <w:lang/>
        </w:rPr>
        <w:t>The Fiscal Responsibility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Law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was introduced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as a disciplinary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budgetary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institution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of Brazilian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public finances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in order to contain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the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municipal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debt</w:t>
      </w:r>
      <w:r w:rsidRPr="00C01DA5">
        <w:rPr>
          <w:rFonts w:ascii="Arial" w:hAnsi="Arial" w:cs="Arial"/>
          <w:sz w:val="20"/>
          <w:szCs w:val="20"/>
          <w:lang/>
        </w:rPr>
        <w:t xml:space="preserve">,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by imposing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debt limits</w:t>
      </w:r>
      <w:r w:rsidRPr="00C01DA5">
        <w:rPr>
          <w:rFonts w:ascii="Arial" w:hAnsi="Arial" w:cs="Arial"/>
          <w:sz w:val="20"/>
          <w:szCs w:val="20"/>
          <w:lang/>
        </w:rPr>
        <w:t xml:space="preserve">.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This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in turn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hinders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the performance of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public entities</w:t>
      </w:r>
      <w:r w:rsidRPr="00C01DA5">
        <w:rPr>
          <w:rFonts w:ascii="Arial" w:hAnsi="Arial" w:cs="Arial"/>
          <w:sz w:val="20"/>
          <w:szCs w:val="20"/>
          <w:lang/>
        </w:rPr>
        <w:t xml:space="preserve">,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because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the interest expense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and debt service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diminishes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the resources available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to the expense of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running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that generate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goods and services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to society.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Thus</w:t>
      </w:r>
      <w:r w:rsidRPr="00C01DA5">
        <w:rPr>
          <w:rFonts w:ascii="Arial" w:hAnsi="Arial" w:cs="Arial"/>
          <w:sz w:val="20"/>
          <w:szCs w:val="20"/>
          <w:lang/>
        </w:rPr>
        <w:t xml:space="preserve">, this study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aimed to identify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the relationship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Founded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Net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Debt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(DFL</w:t>
      </w:r>
      <w:r w:rsidRPr="00C01DA5">
        <w:rPr>
          <w:rFonts w:ascii="Arial" w:hAnsi="Arial" w:cs="Arial"/>
          <w:sz w:val="20"/>
          <w:szCs w:val="20"/>
          <w:lang/>
        </w:rPr>
        <w:t xml:space="preserve">)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/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Current Net Revenue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(</w:t>
      </w:r>
      <w:r w:rsidRPr="00C01DA5">
        <w:rPr>
          <w:rFonts w:ascii="Arial" w:hAnsi="Arial" w:cs="Arial"/>
          <w:sz w:val="20"/>
          <w:szCs w:val="20"/>
          <w:lang/>
        </w:rPr>
        <w:t xml:space="preserve">RLC)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in the municipalities</w:t>
      </w:r>
      <w:r w:rsidRPr="00C01DA5">
        <w:rPr>
          <w:rFonts w:ascii="Arial" w:hAnsi="Arial" w:cs="Arial"/>
          <w:sz w:val="20"/>
          <w:szCs w:val="20"/>
          <w:lang/>
        </w:rPr>
        <w:t xml:space="preserve">;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and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aimed at verifying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the evolution of the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RCL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from 2000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until 2013;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measure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the share of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interest expense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and amortization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of debt,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the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composition of expenditure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of loved</w:t>
      </w:r>
      <w:r w:rsidRPr="00C01DA5">
        <w:rPr>
          <w:rFonts w:ascii="Arial" w:hAnsi="Arial" w:cs="Arial"/>
          <w:sz w:val="20"/>
          <w:szCs w:val="20"/>
          <w:lang/>
        </w:rPr>
        <w:t xml:space="preserve">.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To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identify these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indices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was used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Accounting Data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Collection System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of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loved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Federation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(</w:t>
      </w:r>
      <w:r w:rsidRPr="00C01DA5">
        <w:rPr>
          <w:rFonts w:ascii="Arial" w:hAnsi="Arial" w:cs="Arial"/>
          <w:sz w:val="20"/>
          <w:szCs w:val="20"/>
          <w:lang/>
        </w:rPr>
        <w:t xml:space="preserve">SISTN) of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the National Treasury Secretariat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(STN</w:t>
      </w:r>
      <w:r w:rsidRPr="00C01DA5">
        <w:rPr>
          <w:rFonts w:ascii="Arial" w:hAnsi="Arial" w:cs="Arial"/>
          <w:sz w:val="20"/>
          <w:szCs w:val="20"/>
          <w:lang/>
        </w:rPr>
        <w:t xml:space="preserve">), and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statistical analysis used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in the treatment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of the collected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data.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It can be said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that from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2000, there was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significant reduction in the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DFL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/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RCL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ratio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in most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municipalities surveyed</w:t>
      </w:r>
      <w:r w:rsidRPr="00C01DA5">
        <w:rPr>
          <w:rFonts w:ascii="Arial" w:hAnsi="Arial" w:cs="Arial"/>
          <w:sz w:val="20"/>
          <w:szCs w:val="20"/>
          <w:lang/>
        </w:rPr>
        <w:t xml:space="preserve">,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and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beyond the control of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the debt stock</w:t>
      </w:r>
      <w:r w:rsidRPr="00C01DA5">
        <w:rPr>
          <w:rFonts w:ascii="Arial" w:hAnsi="Arial" w:cs="Arial"/>
          <w:sz w:val="20"/>
          <w:szCs w:val="20"/>
          <w:lang/>
        </w:rPr>
        <w:t xml:space="preserve">,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al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these years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there was an increase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in the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RCL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which influenced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positively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in maintaining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the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debt ratios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within legal limits</w:t>
      </w:r>
      <w:r w:rsidRPr="00C01DA5">
        <w:rPr>
          <w:rFonts w:ascii="Arial" w:hAnsi="Arial" w:cs="Arial"/>
          <w:sz w:val="20"/>
          <w:szCs w:val="20"/>
          <w:lang/>
        </w:rPr>
        <w:t>.</w:t>
      </w:r>
      <w:r w:rsidRPr="00C01DA5">
        <w:rPr>
          <w:rFonts w:ascii="Arial" w:hAnsi="Arial" w:cs="Arial"/>
          <w:sz w:val="20"/>
          <w:szCs w:val="20"/>
          <w:lang/>
        </w:rPr>
        <w:br/>
      </w:r>
      <w:r w:rsidRPr="00520A0E">
        <w:rPr>
          <w:rStyle w:val="hps"/>
          <w:rFonts w:ascii="Arial" w:hAnsi="Arial" w:cs="Arial"/>
          <w:b/>
          <w:sz w:val="20"/>
          <w:szCs w:val="20"/>
          <w:lang/>
        </w:rPr>
        <w:t>Keywords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: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Debt</w:t>
      </w:r>
      <w:r w:rsidRPr="00C01DA5">
        <w:rPr>
          <w:rFonts w:ascii="Arial" w:hAnsi="Arial" w:cs="Arial"/>
          <w:sz w:val="20"/>
          <w:szCs w:val="20"/>
          <w:lang/>
        </w:rPr>
        <w:t xml:space="preserve">.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Fiscal Responsibility Law</w:t>
      </w:r>
      <w:r w:rsidRPr="00C01DA5">
        <w:rPr>
          <w:rFonts w:ascii="Arial" w:hAnsi="Arial" w:cs="Arial"/>
          <w:sz w:val="20"/>
          <w:szCs w:val="20"/>
          <w:lang/>
        </w:rPr>
        <w:t xml:space="preserve">.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Public</w:t>
      </w:r>
      <w:r w:rsidRPr="00C01DA5">
        <w:rPr>
          <w:rFonts w:ascii="Arial" w:hAnsi="Arial" w:cs="Arial"/>
          <w:sz w:val="20"/>
          <w:szCs w:val="20"/>
          <w:lang/>
        </w:rPr>
        <w:t xml:space="preserve"> </w:t>
      </w:r>
      <w:r w:rsidRPr="00C01DA5">
        <w:rPr>
          <w:rStyle w:val="hps"/>
          <w:rFonts w:ascii="Arial" w:hAnsi="Arial" w:cs="Arial"/>
          <w:sz w:val="20"/>
          <w:szCs w:val="20"/>
          <w:lang/>
        </w:rPr>
        <w:t>debt.</w:t>
      </w:r>
    </w:p>
    <w:p w:rsidR="00FF1C44" w:rsidRPr="00C01DA5" w:rsidRDefault="00FF1C44" w:rsidP="00650C65">
      <w:pPr>
        <w:pStyle w:val="PargrafodaLista"/>
        <w:spacing w:after="0" w:line="360" w:lineRule="auto"/>
        <w:ind w:left="0"/>
        <w:outlineLvl w:val="0"/>
        <w:rPr>
          <w:rFonts w:ascii="Arial" w:eastAsia="Times New Roman" w:hAnsi="Arial" w:cs="Arial"/>
          <w:sz w:val="20"/>
          <w:szCs w:val="20"/>
          <w:lang w:eastAsia="pt-BR"/>
        </w:rPr>
      </w:pPr>
    </w:p>
    <w:p w:rsidR="00650C65" w:rsidRDefault="00650C65" w:rsidP="00650C65">
      <w:pPr>
        <w:pStyle w:val="PargrafodaLista"/>
        <w:spacing w:after="0" w:line="360" w:lineRule="auto"/>
        <w:ind w:left="0"/>
        <w:outlineLvl w:val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366C8D" w:rsidRPr="00650C65" w:rsidRDefault="00FF1C44" w:rsidP="00650C65">
      <w:pPr>
        <w:pStyle w:val="PargrafodaLista"/>
        <w:spacing w:after="0" w:line="360" w:lineRule="auto"/>
        <w:ind w:left="0"/>
        <w:outlineLvl w:val="0"/>
        <w:rPr>
          <w:rFonts w:ascii="Arial" w:hAnsi="Arial" w:cs="Arial"/>
          <w:b/>
          <w:sz w:val="24"/>
          <w:szCs w:val="24"/>
        </w:rPr>
      </w:pPr>
      <w:r w:rsidRPr="00650C6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 </w:t>
      </w:r>
      <w:r w:rsidR="005742B1" w:rsidRPr="00650C65">
        <w:rPr>
          <w:rFonts w:ascii="Arial" w:hAnsi="Arial" w:cs="Arial"/>
          <w:b/>
          <w:sz w:val="24"/>
          <w:szCs w:val="24"/>
        </w:rPr>
        <w:t>I</w:t>
      </w:r>
      <w:r w:rsidR="00141F77" w:rsidRPr="00650C65">
        <w:rPr>
          <w:rFonts w:ascii="Arial" w:hAnsi="Arial" w:cs="Arial"/>
          <w:b/>
          <w:sz w:val="24"/>
          <w:szCs w:val="24"/>
        </w:rPr>
        <w:t>NTRODUÇÃO</w:t>
      </w:r>
    </w:p>
    <w:p w:rsidR="00650C65" w:rsidRDefault="00650C65" w:rsidP="00650C65">
      <w:pPr>
        <w:spacing w:line="360" w:lineRule="auto"/>
        <w:ind w:firstLine="567"/>
        <w:jc w:val="both"/>
        <w:rPr>
          <w:rFonts w:ascii="Arial" w:hAnsi="Arial" w:cs="Arial"/>
        </w:rPr>
      </w:pPr>
    </w:p>
    <w:p w:rsidR="00366C8D" w:rsidRPr="00C01DA5" w:rsidRDefault="00AF1500" w:rsidP="00650C65">
      <w:pPr>
        <w:spacing w:line="360" w:lineRule="auto"/>
        <w:ind w:firstLine="567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Após o processo de consolidação da democracia no </w:t>
      </w:r>
      <w:r w:rsidR="00BA5ADA" w:rsidRPr="00C01DA5">
        <w:rPr>
          <w:rFonts w:ascii="Arial" w:hAnsi="Arial" w:cs="Arial"/>
        </w:rPr>
        <w:t>país</w:t>
      </w:r>
      <w:r w:rsidRPr="00C01DA5">
        <w:rPr>
          <w:rFonts w:ascii="Arial" w:hAnsi="Arial" w:cs="Arial"/>
        </w:rPr>
        <w:t xml:space="preserve">, tendo como marco a promulgação da Constituição Federal em 5 de outubro de 1988, o Brasil </w:t>
      </w:r>
      <w:r w:rsidR="009C7AF3" w:rsidRPr="00C01DA5">
        <w:rPr>
          <w:rFonts w:ascii="Arial" w:hAnsi="Arial" w:cs="Arial"/>
        </w:rPr>
        <w:t>passou a ter como principal desafio</w:t>
      </w:r>
      <w:r w:rsidR="008C7CEB" w:rsidRPr="00C01DA5">
        <w:rPr>
          <w:rFonts w:ascii="Arial" w:hAnsi="Arial" w:cs="Arial"/>
        </w:rPr>
        <w:t xml:space="preserve"> econômico</w:t>
      </w:r>
      <w:r w:rsidR="009C7AF3" w:rsidRPr="00C01DA5">
        <w:rPr>
          <w:rFonts w:ascii="Arial" w:hAnsi="Arial" w:cs="Arial"/>
        </w:rPr>
        <w:t xml:space="preserve"> o controle inflacionário, sendo que num período </w:t>
      </w:r>
      <w:r w:rsidR="009C7AF3" w:rsidRPr="00C01DA5">
        <w:rPr>
          <w:rFonts w:ascii="Arial" w:hAnsi="Arial" w:cs="Arial"/>
        </w:rPr>
        <w:lastRenderedPageBreak/>
        <w:t xml:space="preserve">de </w:t>
      </w:r>
      <w:r w:rsidR="008C7CEB" w:rsidRPr="00C01DA5">
        <w:rPr>
          <w:rFonts w:ascii="Arial" w:hAnsi="Arial" w:cs="Arial"/>
        </w:rPr>
        <w:t>1986 a 1994</w:t>
      </w:r>
      <w:r w:rsidR="009C7AF3" w:rsidRPr="00C01DA5">
        <w:rPr>
          <w:rFonts w:ascii="Arial" w:hAnsi="Arial" w:cs="Arial"/>
        </w:rPr>
        <w:t xml:space="preserve"> foram implementados seis planos de estabilização, listados a seguir: </w:t>
      </w:r>
      <w:r w:rsidR="006A7E31">
        <w:rPr>
          <w:rFonts w:ascii="Arial" w:hAnsi="Arial" w:cs="Arial"/>
        </w:rPr>
        <w:t>P</w:t>
      </w:r>
      <w:r w:rsidR="009C7AF3" w:rsidRPr="00C01DA5">
        <w:rPr>
          <w:rFonts w:ascii="Arial" w:hAnsi="Arial" w:cs="Arial"/>
        </w:rPr>
        <w:t>lano Cruzado (1886), Plano Bresser (1987), Plano Verão (1989), Plano Collor (1990), Plano Collor II (1991), e Plano Real (1994)</w:t>
      </w:r>
      <w:r w:rsidR="002635B2" w:rsidRPr="00C01DA5">
        <w:rPr>
          <w:rFonts w:ascii="Arial" w:hAnsi="Arial" w:cs="Arial"/>
        </w:rPr>
        <w:t xml:space="preserve"> (FREITAS, 2003)</w:t>
      </w:r>
      <w:r w:rsidR="009C7AF3" w:rsidRPr="00C01DA5">
        <w:rPr>
          <w:rFonts w:ascii="Arial" w:hAnsi="Arial" w:cs="Arial"/>
        </w:rPr>
        <w:t xml:space="preserve">. </w:t>
      </w:r>
    </w:p>
    <w:p w:rsidR="00650C65" w:rsidRDefault="00BA5ADA" w:rsidP="00650C65">
      <w:pPr>
        <w:spacing w:line="360" w:lineRule="auto"/>
        <w:ind w:firstLine="567"/>
        <w:jc w:val="both"/>
        <w:rPr>
          <w:rFonts w:ascii="Arial" w:eastAsia="Calibri" w:hAnsi="Arial" w:cs="Arial"/>
        </w:rPr>
      </w:pPr>
      <w:r w:rsidRPr="00C01DA5">
        <w:rPr>
          <w:rFonts w:ascii="Arial" w:hAnsi="Arial" w:cs="Arial"/>
        </w:rPr>
        <w:t>A</w:t>
      </w:r>
      <w:r w:rsidR="009C7AF3" w:rsidRPr="00C01DA5">
        <w:rPr>
          <w:rFonts w:ascii="Arial" w:eastAsia="Calibri" w:hAnsi="Arial" w:cs="Arial"/>
        </w:rPr>
        <w:t xml:space="preserve"> partir de 1994 o controle sobre</w:t>
      </w:r>
      <w:r w:rsidR="007C07AC" w:rsidRPr="00C01DA5">
        <w:rPr>
          <w:rFonts w:ascii="Arial" w:eastAsia="Calibri" w:hAnsi="Arial" w:cs="Arial"/>
        </w:rPr>
        <w:t xml:space="preserve"> </w:t>
      </w:r>
      <w:r w:rsidR="009C7AF3" w:rsidRPr="00C01DA5">
        <w:rPr>
          <w:rFonts w:ascii="Arial" w:eastAsia="Calibri" w:hAnsi="Arial" w:cs="Arial"/>
        </w:rPr>
        <w:t>a inflação é conseguido mediante</w:t>
      </w:r>
      <w:r w:rsidR="007C07AC" w:rsidRPr="00C01DA5">
        <w:rPr>
          <w:rFonts w:ascii="Arial" w:eastAsia="Calibri" w:hAnsi="Arial" w:cs="Arial"/>
        </w:rPr>
        <w:t xml:space="preserve"> </w:t>
      </w:r>
      <w:r w:rsidR="009C7AF3" w:rsidRPr="00C01DA5">
        <w:rPr>
          <w:rFonts w:ascii="Arial" w:eastAsia="Calibri" w:hAnsi="Arial" w:cs="Arial"/>
        </w:rPr>
        <w:t>o Plano Real, quando o país inicia um novo</w:t>
      </w:r>
      <w:r w:rsidR="007C07AC" w:rsidRPr="00C01DA5">
        <w:rPr>
          <w:rFonts w:ascii="Arial" w:eastAsia="Calibri" w:hAnsi="Arial" w:cs="Arial"/>
        </w:rPr>
        <w:t xml:space="preserve"> </w:t>
      </w:r>
      <w:r w:rsidR="009C7AF3" w:rsidRPr="00C01DA5">
        <w:rPr>
          <w:rFonts w:ascii="Arial" w:eastAsia="Calibri" w:hAnsi="Arial" w:cs="Arial"/>
        </w:rPr>
        <w:t>ciclo de endividamento, lastreado na liquidez do</w:t>
      </w:r>
      <w:r w:rsidR="007C07AC" w:rsidRPr="00C01DA5">
        <w:rPr>
          <w:rFonts w:ascii="Arial" w:eastAsia="Calibri" w:hAnsi="Arial" w:cs="Arial"/>
        </w:rPr>
        <w:t xml:space="preserve"> </w:t>
      </w:r>
      <w:r w:rsidR="009C7AF3" w:rsidRPr="00C01DA5">
        <w:rPr>
          <w:rFonts w:ascii="Arial" w:eastAsia="Calibri" w:hAnsi="Arial" w:cs="Arial"/>
        </w:rPr>
        <w:t>mercado financeiro internacional, algo que não</w:t>
      </w:r>
      <w:r w:rsidR="007C07AC" w:rsidRPr="00C01DA5">
        <w:rPr>
          <w:rFonts w:ascii="Arial" w:eastAsia="Calibri" w:hAnsi="Arial" w:cs="Arial"/>
        </w:rPr>
        <w:t xml:space="preserve"> </w:t>
      </w:r>
      <w:r w:rsidR="009C7AF3" w:rsidRPr="00C01DA5">
        <w:rPr>
          <w:rFonts w:ascii="Arial" w:eastAsia="Calibri" w:hAnsi="Arial" w:cs="Arial"/>
        </w:rPr>
        <w:t>ocorreu nos anos 80. Nesse novo ciclo de endividamento</w:t>
      </w:r>
      <w:r w:rsidR="007C07AC" w:rsidRPr="00C01DA5">
        <w:rPr>
          <w:rFonts w:ascii="Arial" w:eastAsia="Calibri" w:hAnsi="Arial" w:cs="Arial"/>
        </w:rPr>
        <w:t xml:space="preserve"> </w:t>
      </w:r>
      <w:r w:rsidR="009C7AF3" w:rsidRPr="00C01DA5">
        <w:rPr>
          <w:rFonts w:ascii="Arial" w:eastAsia="Calibri" w:hAnsi="Arial" w:cs="Arial"/>
        </w:rPr>
        <w:t>os sucessivos desequilíbrios nas contas externas</w:t>
      </w:r>
      <w:r w:rsidR="007C07AC" w:rsidRPr="00C01DA5">
        <w:rPr>
          <w:rFonts w:ascii="Arial" w:eastAsia="Calibri" w:hAnsi="Arial" w:cs="Arial"/>
        </w:rPr>
        <w:t xml:space="preserve"> </w:t>
      </w:r>
      <w:r w:rsidR="009C7AF3" w:rsidRPr="00C01DA5">
        <w:rPr>
          <w:rFonts w:ascii="Arial" w:eastAsia="Calibri" w:hAnsi="Arial" w:cs="Arial"/>
        </w:rPr>
        <w:t>reforçam a dependência crônica do capital</w:t>
      </w:r>
      <w:r w:rsidR="007C07AC" w:rsidRPr="00C01DA5">
        <w:rPr>
          <w:rFonts w:ascii="Arial" w:eastAsia="Calibri" w:hAnsi="Arial" w:cs="Arial"/>
        </w:rPr>
        <w:t xml:space="preserve"> </w:t>
      </w:r>
      <w:r w:rsidR="009C7AF3" w:rsidRPr="00C01DA5">
        <w:rPr>
          <w:rFonts w:ascii="Arial" w:eastAsia="Calibri" w:hAnsi="Arial" w:cs="Arial"/>
        </w:rPr>
        <w:t>estrangeiro</w:t>
      </w:r>
      <w:r w:rsidRPr="00C01DA5">
        <w:rPr>
          <w:rFonts w:ascii="Arial" w:eastAsia="Calibri" w:hAnsi="Arial" w:cs="Arial"/>
        </w:rPr>
        <w:t xml:space="preserve"> </w:t>
      </w:r>
      <w:r w:rsidRPr="00C01DA5">
        <w:rPr>
          <w:rFonts w:ascii="Arial" w:hAnsi="Arial" w:cs="Arial"/>
        </w:rPr>
        <w:t>(FREITAS, 2003)</w:t>
      </w:r>
      <w:r w:rsidR="009C7AF3" w:rsidRPr="00C01DA5">
        <w:rPr>
          <w:rFonts w:ascii="Arial" w:eastAsia="Calibri" w:hAnsi="Arial" w:cs="Arial"/>
        </w:rPr>
        <w:t>.</w:t>
      </w:r>
      <w:r w:rsidR="007C07AC" w:rsidRPr="00C01DA5">
        <w:rPr>
          <w:rFonts w:ascii="Arial" w:eastAsia="Calibri" w:hAnsi="Arial" w:cs="Arial"/>
        </w:rPr>
        <w:t xml:space="preserve"> </w:t>
      </w:r>
    </w:p>
    <w:p w:rsidR="007C07AC" w:rsidRPr="00C01DA5" w:rsidRDefault="007C07AC" w:rsidP="00650C65">
      <w:pPr>
        <w:spacing w:line="360" w:lineRule="auto"/>
        <w:ind w:firstLine="567"/>
        <w:jc w:val="both"/>
        <w:rPr>
          <w:rFonts w:ascii="Arial" w:eastAsia="Calibri" w:hAnsi="Arial" w:cs="Arial"/>
        </w:rPr>
      </w:pPr>
      <w:r w:rsidRPr="00C01DA5">
        <w:rPr>
          <w:rFonts w:ascii="Arial" w:eastAsia="Calibri" w:hAnsi="Arial" w:cs="Arial"/>
        </w:rPr>
        <w:t xml:space="preserve">A dívida mobiliária interna do país elevou-se de R$ 60,7 bilhões, em junho de 1994 para 624,1 bilhões em dezembro de 2001, sendo que o principal fator de aumento da dívida foram os programas de saneamento financeiro de Estados e Municípios </w:t>
      </w:r>
      <w:r w:rsidR="000557C4" w:rsidRPr="00C01DA5">
        <w:rPr>
          <w:rFonts w:ascii="Arial" w:eastAsia="Calibri" w:hAnsi="Arial" w:cs="Arial"/>
        </w:rPr>
        <w:t>co</w:t>
      </w:r>
      <w:r w:rsidR="003A2CC8" w:rsidRPr="00C01DA5">
        <w:rPr>
          <w:rFonts w:ascii="Arial" w:eastAsia="Calibri" w:hAnsi="Arial" w:cs="Arial"/>
        </w:rPr>
        <w:t>rrespondendo a 47,7% do aumento. A</w:t>
      </w:r>
      <w:r w:rsidR="000557C4" w:rsidRPr="00C01DA5">
        <w:rPr>
          <w:rFonts w:ascii="Arial" w:eastAsia="Calibri" w:hAnsi="Arial" w:cs="Arial"/>
        </w:rPr>
        <w:t>lém</w:t>
      </w:r>
      <w:r w:rsidR="003A2CC8" w:rsidRPr="00C01DA5">
        <w:rPr>
          <w:rFonts w:ascii="Arial" w:eastAsia="Calibri" w:hAnsi="Arial" w:cs="Arial"/>
        </w:rPr>
        <w:t xml:space="preserve"> disso, </w:t>
      </w:r>
      <w:r w:rsidR="000557C4" w:rsidRPr="00C01DA5">
        <w:rPr>
          <w:rFonts w:ascii="Arial" w:eastAsia="Calibri" w:hAnsi="Arial" w:cs="Arial"/>
        </w:rPr>
        <w:t>o programa de apoio à reestruturação dos bancos público federais</w:t>
      </w:r>
      <w:r w:rsidR="003A2CC8" w:rsidRPr="00C01DA5">
        <w:rPr>
          <w:rFonts w:ascii="Arial" w:eastAsia="Calibri" w:hAnsi="Arial" w:cs="Arial"/>
        </w:rPr>
        <w:t>,</w:t>
      </w:r>
      <w:r w:rsidR="000557C4" w:rsidRPr="00C01DA5">
        <w:rPr>
          <w:rFonts w:ascii="Arial" w:eastAsia="Calibri" w:hAnsi="Arial" w:cs="Arial"/>
        </w:rPr>
        <w:t xml:space="preserve"> corresponde</w:t>
      </w:r>
      <w:r w:rsidR="003A2CC8" w:rsidRPr="00C01DA5">
        <w:rPr>
          <w:rFonts w:ascii="Arial" w:eastAsia="Calibri" w:hAnsi="Arial" w:cs="Arial"/>
        </w:rPr>
        <w:t>u</w:t>
      </w:r>
      <w:r w:rsidR="000557C4" w:rsidRPr="00C01DA5">
        <w:rPr>
          <w:rFonts w:ascii="Arial" w:eastAsia="Calibri" w:hAnsi="Arial" w:cs="Arial"/>
        </w:rPr>
        <w:t xml:space="preserve"> a 10,5% do aumento da dívida e o reconhecimento dos chamados “</w:t>
      </w:r>
      <w:r w:rsidR="001938E7" w:rsidRPr="00C01DA5">
        <w:rPr>
          <w:rFonts w:ascii="Arial" w:eastAsia="Calibri" w:hAnsi="Arial" w:cs="Arial"/>
        </w:rPr>
        <w:t>esqueletos” -</w:t>
      </w:r>
      <w:r w:rsidR="000B16C8" w:rsidRPr="00C01DA5">
        <w:rPr>
          <w:rFonts w:ascii="Arial" w:eastAsia="Calibri" w:hAnsi="Arial" w:cs="Arial"/>
        </w:rPr>
        <w:t xml:space="preserve"> passivos que embora já existissem, eram ocultados das estatísticas da dívida pública correspondendo a um total de 10,1% do crescimento da dívida</w:t>
      </w:r>
      <w:r w:rsidR="00C60CAB" w:rsidRPr="00C01DA5">
        <w:rPr>
          <w:rFonts w:ascii="Arial" w:eastAsia="Calibri" w:hAnsi="Arial" w:cs="Arial"/>
        </w:rPr>
        <w:t xml:space="preserve"> (NASCIMENTO, DEBUS, 2000).</w:t>
      </w:r>
    </w:p>
    <w:p w:rsidR="00F76331" w:rsidRPr="00C01DA5" w:rsidRDefault="003A2CC8" w:rsidP="00650C65">
      <w:pPr>
        <w:spacing w:line="360" w:lineRule="auto"/>
        <w:ind w:firstLine="567"/>
        <w:jc w:val="both"/>
        <w:rPr>
          <w:rFonts w:ascii="Arial" w:eastAsia="Calibri" w:hAnsi="Arial" w:cs="Arial"/>
        </w:rPr>
      </w:pPr>
      <w:r w:rsidRPr="00C01DA5">
        <w:rPr>
          <w:rFonts w:ascii="Arial" w:eastAsia="Calibri" w:hAnsi="Arial" w:cs="Arial"/>
        </w:rPr>
        <w:t>Dessa forma</w:t>
      </w:r>
      <w:r w:rsidR="00C60CAB" w:rsidRPr="00C01DA5">
        <w:rPr>
          <w:rFonts w:ascii="Arial" w:eastAsia="Calibri" w:hAnsi="Arial" w:cs="Arial"/>
        </w:rPr>
        <w:t xml:space="preserve">, </w:t>
      </w:r>
      <w:r w:rsidRPr="00C01DA5">
        <w:rPr>
          <w:rFonts w:ascii="Arial" w:eastAsia="Calibri" w:hAnsi="Arial" w:cs="Arial"/>
        </w:rPr>
        <w:t>a</w:t>
      </w:r>
      <w:r w:rsidR="007C07AC" w:rsidRPr="00C01DA5">
        <w:rPr>
          <w:rFonts w:ascii="Arial" w:eastAsia="Calibri" w:hAnsi="Arial" w:cs="Arial"/>
        </w:rPr>
        <w:t xml:space="preserve"> fragilidade das contas externas brasileiras passa a conviver com um cenário de </w:t>
      </w:r>
      <w:r w:rsidR="00C60CAB" w:rsidRPr="00C01DA5">
        <w:rPr>
          <w:rFonts w:ascii="Arial" w:eastAsia="Calibri" w:hAnsi="Arial" w:cs="Arial"/>
        </w:rPr>
        <w:t xml:space="preserve">internacional de </w:t>
      </w:r>
      <w:r w:rsidR="007C07AC" w:rsidRPr="00C01DA5">
        <w:rPr>
          <w:rFonts w:ascii="Arial" w:eastAsia="Calibri" w:hAnsi="Arial" w:cs="Arial"/>
        </w:rPr>
        <w:t>instabilidade</w:t>
      </w:r>
      <w:r w:rsidR="00C60CAB" w:rsidRPr="00C01DA5">
        <w:rPr>
          <w:rFonts w:ascii="Arial" w:eastAsia="Calibri" w:hAnsi="Arial" w:cs="Arial"/>
        </w:rPr>
        <w:t xml:space="preserve"> financeira</w:t>
      </w:r>
      <w:r w:rsidR="007C07AC" w:rsidRPr="00C01DA5">
        <w:rPr>
          <w:rFonts w:ascii="Arial" w:eastAsia="Calibri" w:hAnsi="Arial" w:cs="Arial"/>
        </w:rPr>
        <w:t xml:space="preserve">, aumentando a vulnerabilidade da posição externa da economia </w:t>
      </w:r>
      <w:r w:rsidR="00C60CAB" w:rsidRPr="00C01DA5">
        <w:rPr>
          <w:rFonts w:ascii="Arial" w:eastAsia="Calibri" w:hAnsi="Arial" w:cs="Arial"/>
        </w:rPr>
        <w:t xml:space="preserve">brasileira. </w:t>
      </w:r>
    </w:p>
    <w:p w:rsidR="00006DAD" w:rsidRPr="00C01DA5" w:rsidRDefault="003A2CC8" w:rsidP="00650C65">
      <w:pPr>
        <w:spacing w:line="360" w:lineRule="auto"/>
        <w:ind w:firstLine="567"/>
        <w:jc w:val="both"/>
        <w:rPr>
          <w:rFonts w:ascii="Arial" w:eastAsia="Calibri" w:hAnsi="Arial" w:cs="Arial"/>
        </w:rPr>
      </w:pPr>
      <w:r w:rsidRPr="00C01DA5">
        <w:rPr>
          <w:rFonts w:ascii="Arial" w:eastAsia="Calibri" w:hAnsi="Arial" w:cs="Arial"/>
        </w:rPr>
        <w:t>Nesse contexto</w:t>
      </w:r>
      <w:r w:rsidR="00C60CAB" w:rsidRPr="00C01DA5">
        <w:rPr>
          <w:rFonts w:ascii="Arial" w:eastAsia="Calibri" w:hAnsi="Arial" w:cs="Arial"/>
        </w:rPr>
        <w:t xml:space="preserve">, </w:t>
      </w:r>
      <w:r w:rsidRPr="00C01DA5">
        <w:rPr>
          <w:rFonts w:ascii="Arial" w:eastAsia="Calibri" w:hAnsi="Arial" w:cs="Arial"/>
        </w:rPr>
        <w:t>em</w:t>
      </w:r>
      <w:r w:rsidR="00C60CAB" w:rsidRPr="00C01DA5">
        <w:rPr>
          <w:rFonts w:ascii="Arial" w:eastAsia="Calibri" w:hAnsi="Arial" w:cs="Arial"/>
        </w:rPr>
        <w:t xml:space="preserve"> 2000, </w:t>
      </w:r>
      <w:r w:rsidRPr="00C01DA5">
        <w:rPr>
          <w:rFonts w:ascii="Arial" w:eastAsia="Calibri" w:hAnsi="Arial" w:cs="Arial"/>
        </w:rPr>
        <w:t>amparado</w:t>
      </w:r>
      <w:r w:rsidR="00C60CAB" w:rsidRPr="00C01DA5">
        <w:rPr>
          <w:rFonts w:ascii="Arial" w:eastAsia="Calibri" w:hAnsi="Arial" w:cs="Arial"/>
        </w:rPr>
        <w:t xml:space="preserve"> no Capítulo II do Título VI da constituição é promulgada a Lei Complementar 101, conhecida como a Lei de Responsabilidade Fiscal</w:t>
      </w:r>
      <w:r w:rsidR="00006DAD" w:rsidRPr="00C01DA5">
        <w:rPr>
          <w:rFonts w:ascii="Arial" w:eastAsia="Calibri" w:hAnsi="Arial" w:cs="Arial"/>
        </w:rPr>
        <w:t xml:space="preserve"> (LRF)</w:t>
      </w:r>
      <w:r w:rsidR="00C60CAB" w:rsidRPr="00C01DA5">
        <w:rPr>
          <w:rFonts w:ascii="Arial" w:eastAsia="Calibri" w:hAnsi="Arial" w:cs="Arial"/>
        </w:rPr>
        <w:t>, que estabelece normas de finanças públicas voltadas para a responsabilidade na gestão fiscal.</w:t>
      </w:r>
    </w:p>
    <w:p w:rsidR="00655A7E" w:rsidRPr="00C01DA5" w:rsidRDefault="00655A7E" w:rsidP="00650C65">
      <w:pPr>
        <w:spacing w:line="360" w:lineRule="auto"/>
        <w:ind w:firstLine="567"/>
        <w:jc w:val="both"/>
        <w:rPr>
          <w:rFonts w:ascii="Arial" w:eastAsia="Calibri" w:hAnsi="Arial" w:cs="Arial"/>
        </w:rPr>
      </w:pPr>
      <w:r w:rsidRPr="00C01DA5">
        <w:rPr>
          <w:rFonts w:ascii="Arial" w:eastAsia="Calibri" w:hAnsi="Arial" w:cs="Arial"/>
        </w:rPr>
        <w:t>A LRF trouxe consigo uma inovação na gestão fiscal, abordando principalmente os seguintes pontos: cumprimento de metas de resultado entre receitas e despesas; obediência a limites e condições no que tange a renúncia de receita; geração de despesa com pessoal, da seguridade social e outras; dívida consolidada e mobiliária, operações de crédito, concessão de garantias e Inscrição em restos a pagar.</w:t>
      </w:r>
    </w:p>
    <w:p w:rsidR="003A574B" w:rsidRPr="00C01DA5" w:rsidRDefault="003A574B" w:rsidP="00650C65">
      <w:pPr>
        <w:spacing w:line="360" w:lineRule="auto"/>
        <w:ind w:firstLine="567"/>
        <w:jc w:val="both"/>
        <w:rPr>
          <w:rFonts w:ascii="Arial" w:eastAsia="Calibri" w:hAnsi="Arial" w:cs="Arial"/>
        </w:rPr>
      </w:pPr>
      <w:r w:rsidRPr="00C01DA5">
        <w:rPr>
          <w:rFonts w:ascii="Arial" w:eastAsia="Calibri" w:hAnsi="Arial" w:cs="Arial"/>
        </w:rPr>
        <w:t xml:space="preserve">Na LRF a </w:t>
      </w:r>
      <w:r w:rsidRPr="00C01DA5">
        <w:rPr>
          <w:rFonts w:ascii="Arial" w:hAnsi="Arial" w:cs="Arial"/>
        </w:rPr>
        <w:t xml:space="preserve">Dívida Pública Consolidada ou Fundada foi definida como o montante total, apurado sem duplicidade, das obrigações financeiras do ente da Federação, assumidas em virtude de leis, contratos, convênios ou tratados e da </w:t>
      </w:r>
      <w:r w:rsidRPr="00C01DA5">
        <w:rPr>
          <w:rFonts w:ascii="Arial" w:hAnsi="Arial" w:cs="Arial"/>
        </w:rPr>
        <w:lastRenderedPageBreak/>
        <w:t>realização de operações de crédito, para amortização em prazo superior a doze meses</w:t>
      </w:r>
      <w:r w:rsidRPr="00C01DA5">
        <w:rPr>
          <w:rFonts w:ascii="Arial" w:eastAsia="Calibri" w:hAnsi="Arial" w:cs="Arial"/>
        </w:rPr>
        <w:t xml:space="preserve"> (</w:t>
      </w:r>
      <w:r w:rsidR="001938E7" w:rsidRPr="00C01DA5">
        <w:rPr>
          <w:rFonts w:ascii="Arial" w:hAnsi="Arial" w:cs="Arial"/>
        </w:rPr>
        <w:t>BRASIL. Lei Complementar nº 101, 2000</w:t>
      </w:r>
      <w:r w:rsidRPr="00C01DA5">
        <w:rPr>
          <w:rFonts w:ascii="Arial" w:hAnsi="Arial" w:cs="Arial"/>
        </w:rPr>
        <w:t>).</w:t>
      </w:r>
    </w:p>
    <w:p w:rsidR="003A574B" w:rsidRPr="00C01DA5" w:rsidRDefault="003A574B" w:rsidP="00A113EA">
      <w:pPr>
        <w:spacing w:line="360" w:lineRule="auto"/>
        <w:ind w:firstLine="567"/>
        <w:jc w:val="both"/>
        <w:rPr>
          <w:rFonts w:ascii="Arial" w:eastAsia="Calibri" w:hAnsi="Arial" w:cs="Arial"/>
        </w:rPr>
      </w:pPr>
      <w:r w:rsidRPr="00C01DA5">
        <w:rPr>
          <w:rFonts w:ascii="Arial" w:eastAsia="Calibri" w:hAnsi="Arial" w:cs="Arial"/>
        </w:rPr>
        <w:t xml:space="preserve"> Já a RCL como o somatório das receitas tributárias, de contribuições, patrimoniais, industriais, agropecuárias, de serviços, transferências correntes e outras receitas também correntes, deduzidos principalmente, os valores transferidos, por determinação constitucional ou legal, aos Estados e Municípios, no caso da União, e aos Municípios, no caso dos Estados, consideradas ainda as demais deduções previstas na Lei</w:t>
      </w:r>
      <w:r w:rsidR="001938E7" w:rsidRPr="00C01DA5">
        <w:rPr>
          <w:rFonts w:ascii="Arial" w:eastAsia="Calibri" w:hAnsi="Arial" w:cs="Arial"/>
        </w:rPr>
        <w:t xml:space="preserve"> (</w:t>
      </w:r>
      <w:r w:rsidR="001938E7" w:rsidRPr="00C01DA5">
        <w:rPr>
          <w:rFonts w:ascii="Arial" w:hAnsi="Arial" w:cs="Arial"/>
        </w:rPr>
        <w:t>BRASIL. Lei Complementar nº 101, 2000)</w:t>
      </w:r>
      <w:r w:rsidRPr="00C01DA5">
        <w:rPr>
          <w:rFonts w:ascii="Arial" w:eastAsia="Calibri" w:hAnsi="Arial" w:cs="Arial"/>
        </w:rPr>
        <w:t xml:space="preserve">. </w:t>
      </w:r>
    </w:p>
    <w:p w:rsidR="00421ADC" w:rsidRPr="00C01DA5" w:rsidRDefault="00D47A31" w:rsidP="00A113EA">
      <w:pPr>
        <w:spacing w:line="360" w:lineRule="auto"/>
        <w:ind w:firstLine="567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>A partir dessa si</w:t>
      </w:r>
      <w:r w:rsidR="003310B5" w:rsidRPr="00C01DA5">
        <w:rPr>
          <w:rFonts w:ascii="Arial" w:hAnsi="Arial" w:cs="Arial"/>
        </w:rPr>
        <w:t>tuação s</w:t>
      </w:r>
      <w:r w:rsidRPr="00C01DA5">
        <w:rPr>
          <w:rFonts w:ascii="Arial" w:hAnsi="Arial" w:cs="Arial"/>
        </w:rPr>
        <w:t>u</w:t>
      </w:r>
      <w:r w:rsidR="003310B5" w:rsidRPr="00C01DA5">
        <w:rPr>
          <w:rFonts w:ascii="Arial" w:hAnsi="Arial" w:cs="Arial"/>
        </w:rPr>
        <w:t>rgiu</w:t>
      </w:r>
      <w:r w:rsidR="00EC46D9" w:rsidRPr="00C01DA5">
        <w:rPr>
          <w:rFonts w:ascii="Arial" w:hAnsi="Arial" w:cs="Arial"/>
        </w:rPr>
        <w:t xml:space="preserve"> o</w:t>
      </w:r>
      <w:r w:rsidRPr="00C01DA5">
        <w:rPr>
          <w:rFonts w:ascii="Arial" w:hAnsi="Arial" w:cs="Arial"/>
        </w:rPr>
        <w:t xml:space="preserve"> seguinte </w:t>
      </w:r>
      <w:r w:rsidR="00EC46D9" w:rsidRPr="00C01DA5">
        <w:rPr>
          <w:rFonts w:ascii="Arial" w:hAnsi="Arial" w:cs="Arial"/>
        </w:rPr>
        <w:t>problema de pesquisa</w:t>
      </w:r>
      <w:r w:rsidRPr="00C01DA5">
        <w:rPr>
          <w:rFonts w:ascii="Arial" w:hAnsi="Arial" w:cs="Arial"/>
        </w:rPr>
        <w:t xml:space="preserve">: </w:t>
      </w:r>
      <w:r w:rsidR="000C2F00" w:rsidRPr="00C01DA5">
        <w:rPr>
          <w:rFonts w:ascii="Arial" w:hAnsi="Arial" w:cs="Arial"/>
        </w:rPr>
        <w:t xml:space="preserve">Qual </w:t>
      </w:r>
      <w:r w:rsidR="00EC46D9" w:rsidRPr="00C01DA5">
        <w:rPr>
          <w:rFonts w:ascii="Arial" w:hAnsi="Arial" w:cs="Arial"/>
        </w:rPr>
        <w:t>o</w:t>
      </w:r>
      <w:r w:rsidR="000C2F00" w:rsidRPr="00C01DA5">
        <w:rPr>
          <w:rFonts w:ascii="Arial" w:hAnsi="Arial" w:cs="Arial"/>
        </w:rPr>
        <w:t xml:space="preserve"> </w:t>
      </w:r>
      <w:r w:rsidR="00EC46D9" w:rsidRPr="00C01DA5">
        <w:rPr>
          <w:rFonts w:ascii="Arial" w:hAnsi="Arial" w:cs="Arial"/>
        </w:rPr>
        <w:t>comportamento</w:t>
      </w:r>
      <w:r w:rsidR="000C2F00" w:rsidRPr="00C01DA5">
        <w:rPr>
          <w:rFonts w:ascii="Arial" w:hAnsi="Arial" w:cs="Arial"/>
        </w:rPr>
        <w:t xml:space="preserve"> d</w:t>
      </w:r>
      <w:r w:rsidR="00EC46D9" w:rsidRPr="00C01DA5">
        <w:rPr>
          <w:rFonts w:ascii="Arial" w:hAnsi="Arial" w:cs="Arial"/>
        </w:rPr>
        <w:t>o</w:t>
      </w:r>
      <w:r w:rsidR="000C2F00" w:rsidRPr="00C01DA5">
        <w:rPr>
          <w:rFonts w:ascii="Arial" w:hAnsi="Arial" w:cs="Arial"/>
        </w:rPr>
        <w:t xml:space="preserve"> endividamento dos municípios baianos</w:t>
      </w:r>
      <w:r w:rsidRPr="00C01DA5">
        <w:rPr>
          <w:rFonts w:ascii="Arial" w:hAnsi="Arial" w:cs="Arial"/>
        </w:rPr>
        <w:t xml:space="preserve"> </w:t>
      </w:r>
      <w:r w:rsidR="00EC46D9" w:rsidRPr="00C01DA5">
        <w:rPr>
          <w:rFonts w:ascii="Arial" w:hAnsi="Arial" w:cs="Arial"/>
        </w:rPr>
        <w:t>no período de 2000 a 2013? Partindo desse</w:t>
      </w:r>
      <w:r w:rsidR="000C2F00" w:rsidRPr="00C01DA5">
        <w:rPr>
          <w:rFonts w:ascii="Arial" w:hAnsi="Arial" w:cs="Arial"/>
        </w:rPr>
        <w:t xml:space="preserve"> </w:t>
      </w:r>
      <w:r w:rsidR="00EC46D9" w:rsidRPr="00C01DA5">
        <w:rPr>
          <w:rFonts w:ascii="Arial" w:hAnsi="Arial" w:cs="Arial"/>
        </w:rPr>
        <w:t>problema de pesquisa</w:t>
      </w:r>
      <w:r w:rsidR="000C2F00" w:rsidRPr="00C01DA5">
        <w:rPr>
          <w:rFonts w:ascii="Arial" w:hAnsi="Arial" w:cs="Arial"/>
        </w:rPr>
        <w:t xml:space="preserve"> estrutura-se como objetivo</w:t>
      </w:r>
      <w:r w:rsidR="00D13F44" w:rsidRPr="00C01DA5">
        <w:rPr>
          <w:rFonts w:ascii="Arial" w:hAnsi="Arial" w:cs="Arial"/>
        </w:rPr>
        <w:t xml:space="preserve"> geral </w:t>
      </w:r>
      <w:r w:rsidR="00E60327" w:rsidRPr="00C01DA5">
        <w:rPr>
          <w:rFonts w:ascii="Arial" w:hAnsi="Arial" w:cs="Arial"/>
        </w:rPr>
        <w:t>desse estudo consiste i</w:t>
      </w:r>
      <w:r w:rsidRPr="00C01DA5">
        <w:rPr>
          <w:rFonts w:ascii="Arial" w:hAnsi="Arial" w:cs="Arial"/>
        </w:rPr>
        <w:t xml:space="preserve">dentificar a relação Dívida </w:t>
      </w:r>
      <w:r w:rsidR="003310B5" w:rsidRPr="00C01DA5">
        <w:rPr>
          <w:rFonts w:ascii="Arial" w:hAnsi="Arial" w:cs="Arial"/>
        </w:rPr>
        <w:t>Consolidada</w:t>
      </w:r>
      <w:r w:rsidR="00421ADC" w:rsidRPr="00C01DA5">
        <w:rPr>
          <w:rFonts w:ascii="Arial" w:hAnsi="Arial" w:cs="Arial"/>
        </w:rPr>
        <w:t xml:space="preserve"> Líquida</w:t>
      </w:r>
      <w:r w:rsidR="000C2F00" w:rsidRPr="00C01DA5">
        <w:rPr>
          <w:rFonts w:ascii="Arial" w:hAnsi="Arial" w:cs="Arial"/>
        </w:rPr>
        <w:t>/</w:t>
      </w:r>
      <w:r w:rsidRPr="00C01DA5">
        <w:rPr>
          <w:rFonts w:ascii="Arial" w:hAnsi="Arial" w:cs="Arial"/>
        </w:rPr>
        <w:t>RCL</w:t>
      </w:r>
      <w:r w:rsidR="000C2F00" w:rsidRPr="00C01DA5">
        <w:rPr>
          <w:rFonts w:ascii="Arial" w:hAnsi="Arial" w:cs="Arial"/>
        </w:rPr>
        <w:t xml:space="preserve"> dos municípios baianos</w:t>
      </w:r>
      <w:r w:rsidR="00E60327" w:rsidRPr="00C01DA5">
        <w:rPr>
          <w:rFonts w:ascii="Arial" w:hAnsi="Arial" w:cs="Arial"/>
        </w:rPr>
        <w:t xml:space="preserve">, visando analisar o comportamento da dívida </w:t>
      </w:r>
      <w:r w:rsidR="00386F74" w:rsidRPr="00C01DA5">
        <w:rPr>
          <w:rFonts w:ascii="Arial" w:hAnsi="Arial" w:cs="Arial"/>
        </w:rPr>
        <w:t>pública</w:t>
      </w:r>
      <w:r w:rsidR="00E60327" w:rsidRPr="00C01DA5">
        <w:rPr>
          <w:rFonts w:ascii="Arial" w:hAnsi="Arial" w:cs="Arial"/>
        </w:rPr>
        <w:t>. Já</w:t>
      </w:r>
      <w:r w:rsidRPr="00C01DA5">
        <w:rPr>
          <w:rFonts w:ascii="Arial" w:hAnsi="Arial" w:cs="Arial"/>
        </w:rPr>
        <w:t xml:space="preserve"> como objetivo específico</w:t>
      </w:r>
      <w:r w:rsidR="00421ADC" w:rsidRPr="00C01DA5">
        <w:rPr>
          <w:rFonts w:ascii="Arial" w:hAnsi="Arial" w:cs="Arial"/>
        </w:rPr>
        <w:t>s</w:t>
      </w:r>
      <w:r w:rsidR="00E60327" w:rsidRPr="00C01DA5">
        <w:rPr>
          <w:rFonts w:ascii="Arial" w:hAnsi="Arial" w:cs="Arial"/>
        </w:rPr>
        <w:t>: a)</w:t>
      </w:r>
      <w:r w:rsidRPr="00C01DA5">
        <w:rPr>
          <w:rFonts w:ascii="Arial" w:hAnsi="Arial" w:cs="Arial"/>
        </w:rPr>
        <w:t xml:space="preserve"> </w:t>
      </w:r>
      <w:r w:rsidR="00421ADC" w:rsidRPr="00C01DA5">
        <w:rPr>
          <w:rFonts w:ascii="Arial" w:hAnsi="Arial" w:cs="Arial"/>
        </w:rPr>
        <w:t>a evol</w:t>
      </w:r>
      <w:r w:rsidR="007650F7" w:rsidRPr="00C01DA5">
        <w:rPr>
          <w:rFonts w:ascii="Arial" w:hAnsi="Arial" w:cs="Arial"/>
        </w:rPr>
        <w:t>uç</w:t>
      </w:r>
      <w:r w:rsidR="00386F74" w:rsidRPr="00C01DA5">
        <w:rPr>
          <w:rFonts w:ascii="Arial" w:hAnsi="Arial" w:cs="Arial"/>
        </w:rPr>
        <w:t>ão da RCL ao longo do período</w:t>
      </w:r>
      <w:r w:rsidR="007650F7" w:rsidRPr="00C01DA5">
        <w:rPr>
          <w:rFonts w:ascii="Arial" w:hAnsi="Arial" w:cs="Arial"/>
        </w:rPr>
        <w:t xml:space="preserve">; b) </w:t>
      </w:r>
      <w:r w:rsidR="00964261" w:rsidRPr="00C01DA5">
        <w:rPr>
          <w:rFonts w:ascii="Arial" w:hAnsi="Arial" w:cs="Arial"/>
        </w:rPr>
        <w:t>e avaliar o cumprimento do resultado nominal previstos nas respectivas Leis de Diretrizes Orçamentár</w:t>
      </w:r>
      <w:r w:rsidR="00EC46D9" w:rsidRPr="00C01DA5">
        <w:rPr>
          <w:rFonts w:ascii="Arial" w:hAnsi="Arial" w:cs="Arial"/>
        </w:rPr>
        <w:t>ias (LDO)</w:t>
      </w:r>
      <w:r w:rsidR="007650F7" w:rsidRPr="00C01DA5">
        <w:rPr>
          <w:rFonts w:ascii="Arial" w:hAnsi="Arial" w:cs="Arial"/>
        </w:rPr>
        <w:t xml:space="preserve">; c) analisar </w:t>
      </w:r>
      <w:r w:rsidR="00386F74" w:rsidRPr="00C01DA5">
        <w:rPr>
          <w:rFonts w:ascii="Arial" w:hAnsi="Arial" w:cs="Arial"/>
        </w:rPr>
        <w:t xml:space="preserve">a relação de pagamento de juros e </w:t>
      </w:r>
      <w:r w:rsidR="007650F7" w:rsidRPr="00C01DA5">
        <w:rPr>
          <w:rFonts w:ascii="Arial" w:hAnsi="Arial" w:cs="Arial"/>
        </w:rPr>
        <w:t xml:space="preserve">amortizações </w:t>
      </w:r>
      <w:r w:rsidR="00386F74" w:rsidRPr="00C01DA5">
        <w:rPr>
          <w:rFonts w:ascii="Arial" w:hAnsi="Arial" w:cs="Arial"/>
        </w:rPr>
        <w:t>da dívida com os total dos recursos aplicados.</w:t>
      </w:r>
    </w:p>
    <w:p w:rsidR="00FF1C44" w:rsidRPr="00C01DA5" w:rsidRDefault="00B54A88" w:rsidP="00A113EA">
      <w:pPr>
        <w:spacing w:line="360" w:lineRule="auto"/>
        <w:ind w:firstLine="567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>Este trabalho apresenta-se relevante, uma vez que ele trata de um tema que influência diretamente na saúde financeira e econômica dos entes da administraç</w:t>
      </w:r>
      <w:r w:rsidR="00CC58F1" w:rsidRPr="00C01DA5">
        <w:rPr>
          <w:rFonts w:ascii="Arial" w:hAnsi="Arial" w:cs="Arial"/>
        </w:rPr>
        <w:t>ão pública, o endividamento, outro</w:t>
      </w:r>
      <w:r w:rsidRPr="00C01DA5">
        <w:rPr>
          <w:rFonts w:ascii="Arial" w:hAnsi="Arial" w:cs="Arial"/>
        </w:rPr>
        <w:t xml:space="preserve"> fator que acentua sua relevância que é a existência de poucos </w:t>
      </w:r>
      <w:r w:rsidR="004A7CBE" w:rsidRPr="00C01DA5">
        <w:rPr>
          <w:rFonts w:ascii="Arial" w:hAnsi="Arial" w:cs="Arial"/>
        </w:rPr>
        <w:t>estudos relacionados à análise da influência da LRF nas finanças municipais</w:t>
      </w:r>
      <w:r w:rsidRPr="00C01DA5">
        <w:rPr>
          <w:rFonts w:ascii="Arial" w:hAnsi="Arial" w:cs="Arial"/>
        </w:rPr>
        <w:t xml:space="preserve">, principalmente no que diz respeitos a municípios baianos. </w:t>
      </w:r>
    </w:p>
    <w:p w:rsidR="00CC6C47" w:rsidRPr="00C01DA5" w:rsidRDefault="00CC6C47" w:rsidP="00A113EA">
      <w:pPr>
        <w:pStyle w:val="PargrafodaLista"/>
        <w:spacing w:after="0" w:line="360" w:lineRule="auto"/>
        <w:ind w:left="0"/>
        <w:outlineLvl w:val="0"/>
        <w:rPr>
          <w:rFonts w:ascii="Arial" w:hAnsi="Arial" w:cs="Arial"/>
          <w:b/>
          <w:sz w:val="28"/>
          <w:szCs w:val="28"/>
        </w:rPr>
      </w:pPr>
    </w:p>
    <w:p w:rsidR="004B330F" w:rsidRPr="00A113EA" w:rsidRDefault="00FF1C44" w:rsidP="00FF1C44">
      <w:pPr>
        <w:pStyle w:val="PargrafodaLista"/>
        <w:spacing w:after="0" w:line="360" w:lineRule="auto"/>
        <w:ind w:left="0"/>
        <w:outlineLvl w:val="0"/>
        <w:rPr>
          <w:rFonts w:ascii="Arial" w:hAnsi="Arial" w:cs="Arial"/>
          <w:b/>
          <w:sz w:val="24"/>
          <w:szCs w:val="24"/>
        </w:rPr>
      </w:pPr>
      <w:r w:rsidRPr="00A113EA">
        <w:rPr>
          <w:rFonts w:ascii="Arial" w:hAnsi="Arial" w:cs="Arial"/>
          <w:b/>
          <w:sz w:val="24"/>
          <w:szCs w:val="24"/>
        </w:rPr>
        <w:t xml:space="preserve">2 </w:t>
      </w:r>
      <w:r w:rsidR="005742B1" w:rsidRPr="00A113EA">
        <w:rPr>
          <w:rFonts w:ascii="Arial" w:hAnsi="Arial" w:cs="Arial"/>
          <w:b/>
          <w:sz w:val="24"/>
          <w:szCs w:val="24"/>
        </w:rPr>
        <w:t>REFERENCIAL TEÓRICO</w:t>
      </w:r>
    </w:p>
    <w:p w:rsidR="00A113EA" w:rsidRDefault="00A113EA" w:rsidP="00FF1C44">
      <w:pPr>
        <w:pStyle w:val="PargrafodaLista"/>
        <w:spacing w:after="0" w:line="360" w:lineRule="auto"/>
        <w:ind w:left="0"/>
        <w:outlineLvl w:val="0"/>
        <w:rPr>
          <w:rFonts w:ascii="Arial" w:hAnsi="Arial" w:cs="Arial"/>
          <w:b/>
          <w:sz w:val="24"/>
          <w:szCs w:val="24"/>
        </w:rPr>
      </w:pPr>
    </w:p>
    <w:p w:rsidR="00FF1C44" w:rsidRPr="00A113EA" w:rsidRDefault="00FF1C44" w:rsidP="00FF1C44">
      <w:pPr>
        <w:pStyle w:val="PargrafodaLista"/>
        <w:spacing w:after="0" w:line="360" w:lineRule="auto"/>
        <w:ind w:left="0"/>
        <w:outlineLvl w:val="0"/>
        <w:rPr>
          <w:rFonts w:ascii="Arial" w:hAnsi="Arial" w:cs="Arial"/>
          <w:sz w:val="24"/>
          <w:szCs w:val="24"/>
        </w:rPr>
      </w:pPr>
      <w:r w:rsidRPr="00A113EA">
        <w:rPr>
          <w:rFonts w:ascii="Arial" w:hAnsi="Arial" w:cs="Arial"/>
          <w:sz w:val="24"/>
          <w:szCs w:val="24"/>
        </w:rPr>
        <w:t xml:space="preserve">2.1 </w:t>
      </w:r>
      <w:r w:rsidR="00CC6C47" w:rsidRPr="00A113EA">
        <w:rPr>
          <w:rFonts w:ascii="Arial" w:hAnsi="Arial" w:cs="Arial"/>
          <w:sz w:val="24"/>
          <w:szCs w:val="24"/>
        </w:rPr>
        <w:t xml:space="preserve">O PROCESSO DE ENDIDAMENTO PÚBLICO </w:t>
      </w:r>
    </w:p>
    <w:p w:rsidR="00EF778D" w:rsidRDefault="00CC6C47" w:rsidP="00CC6C47">
      <w:pPr>
        <w:pStyle w:val="PargrafodaLista"/>
        <w:spacing w:after="0" w:line="360" w:lineRule="auto"/>
        <w:ind w:left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C01DA5">
        <w:rPr>
          <w:rFonts w:ascii="Arial" w:hAnsi="Arial" w:cs="Arial"/>
          <w:b/>
          <w:sz w:val="28"/>
          <w:szCs w:val="28"/>
        </w:rPr>
        <w:tab/>
      </w:r>
    </w:p>
    <w:p w:rsidR="00621654" w:rsidRPr="00C01DA5" w:rsidRDefault="007D4253" w:rsidP="00EF778D">
      <w:pPr>
        <w:pStyle w:val="PargrafodaLista"/>
        <w:spacing w:after="0" w:line="360" w:lineRule="auto"/>
        <w:ind w:left="0" w:firstLine="567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C01DA5">
        <w:rPr>
          <w:rFonts w:ascii="Arial" w:hAnsi="Arial" w:cs="Arial"/>
          <w:sz w:val="24"/>
          <w:szCs w:val="24"/>
        </w:rPr>
        <w:t>O</w:t>
      </w:r>
      <w:r w:rsidR="00621654" w:rsidRPr="00C01DA5">
        <w:rPr>
          <w:rFonts w:ascii="Arial" w:hAnsi="Arial" w:cs="Arial"/>
          <w:sz w:val="24"/>
          <w:szCs w:val="24"/>
        </w:rPr>
        <w:t xml:space="preserve"> processo</w:t>
      </w:r>
      <w:r w:rsidRPr="00C01DA5">
        <w:rPr>
          <w:rFonts w:ascii="Arial" w:hAnsi="Arial" w:cs="Arial"/>
          <w:sz w:val="24"/>
          <w:szCs w:val="24"/>
        </w:rPr>
        <w:t xml:space="preserve"> endividamento público</w:t>
      </w:r>
      <w:r w:rsidR="00621654" w:rsidRPr="00C01DA5">
        <w:rPr>
          <w:rFonts w:ascii="Arial" w:hAnsi="Arial" w:cs="Arial"/>
          <w:sz w:val="24"/>
          <w:szCs w:val="24"/>
        </w:rPr>
        <w:t xml:space="preserve"> ocorre por conta da realização de</w:t>
      </w:r>
      <w:r w:rsidRPr="00C01DA5">
        <w:rPr>
          <w:rFonts w:ascii="Arial" w:hAnsi="Arial" w:cs="Arial"/>
          <w:sz w:val="24"/>
          <w:szCs w:val="24"/>
        </w:rPr>
        <w:t xml:space="preserve"> despesas superiores às receitas do ente público, possível apenas em face da concessão de crédito por terceiro de forma voluntária ou não.</w:t>
      </w:r>
    </w:p>
    <w:p w:rsidR="007D4253" w:rsidRPr="00C01DA5" w:rsidRDefault="007D4253" w:rsidP="00FF1C44">
      <w:pPr>
        <w:pStyle w:val="PargrafodaLista"/>
        <w:spacing w:after="240" w:line="360" w:lineRule="auto"/>
        <w:ind w:left="0"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C01DA5">
        <w:rPr>
          <w:rFonts w:ascii="Arial" w:hAnsi="Arial" w:cs="Arial"/>
        </w:rPr>
        <w:t xml:space="preserve"> </w:t>
      </w:r>
      <w:r w:rsidRPr="00C01DA5">
        <w:rPr>
          <w:rFonts w:ascii="Arial" w:hAnsi="Arial" w:cs="Arial"/>
          <w:sz w:val="24"/>
          <w:szCs w:val="24"/>
        </w:rPr>
        <w:t xml:space="preserve">A concessão de crédito de forma voluntária por parte do credor caracteriza-se pelos empréstimos obtidos nas instituições financeiras oficiais do Estado ou da União ou mesmo no mercado financeiro, para financiar o descompasso entre </w:t>
      </w:r>
      <w:r w:rsidRPr="00C01DA5">
        <w:rPr>
          <w:rFonts w:ascii="Arial" w:hAnsi="Arial" w:cs="Arial"/>
          <w:sz w:val="24"/>
          <w:szCs w:val="24"/>
        </w:rPr>
        <w:lastRenderedPageBreak/>
        <w:t>receitas e despesas e, para isso, pagam-se juros e encargos financeiros. Já a concessão de crédito por terceiros, de forma involuntária, diz respeito aos gastos superiores às receitas – déficits –, resultando no não pagamento</w:t>
      </w:r>
      <w:r w:rsidR="00184FA1" w:rsidRPr="00C01DA5">
        <w:rPr>
          <w:rFonts w:ascii="Arial" w:hAnsi="Arial" w:cs="Arial"/>
          <w:sz w:val="24"/>
          <w:szCs w:val="24"/>
        </w:rPr>
        <w:t xml:space="preserve"> </w:t>
      </w:r>
      <w:r w:rsidRPr="00C01DA5">
        <w:rPr>
          <w:rFonts w:ascii="Arial" w:hAnsi="Arial" w:cs="Arial"/>
          <w:sz w:val="24"/>
          <w:szCs w:val="24"/>
        </w:rPr>
        <w:t xml:space="preserve">de fornecedores e/ou funcionários </w:t>
      </w:r>
      <w:r w:rsidR="00621654" w:rsidRPr="00C01DA5">
        <w:rPr>
          <w:rFonts w:ascii="Arial" w:hAnsi="Arial" w:cs="Arial"/>
          <w:sz w:val="24"/>
          <w:szCs w:val="24"/>
        </w:rPr>
        <w:t xml:space="preserve">públicos </w:t>
      </w:r>
      <w:r w:rsidRPr="00C01DA5">
        <w:rPr>
          <w:rFonts w:ascii="Arial" w:hAnsi="Arial" w:cs="Arial"/>
          <w:sz w:val="24"/>
          <w:szCs w:val="24"/>
        </w:rPr>
        <w:t>(CORBARI, 2008 apud.MACEDO, 2009).</w:t>
      </w:r>
    </w:p>
    <w:p w:rsidR="00126C84" w:rsidRPr="00C01DA5" w:rsidRDefault="00876789" w:rsidP="00FF1C44">
      <w:pPr>
        <w:pStyle w:val="PargrafodaLista"/>
        <w:spacing w:after="240" w:line="360" w:lineRule="auto"/>
        <w:ind w:left="0"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C01DA5">
        <w:rPr>
          <w:rFonts w:ascii="Arial" w:hAnsi="Arial" w:cs="Arial"/>
          <w:sz w:val="24"/>
          <w:szCs w:val="24"/>
        </w:rPr>
        <w:t xml:space="preserve">O endividamento público sem planejamento pode levar a um </w:t>
      </w:r>
      <w:r w:rsidR="00235F88" w:rsidRPr="00C01DA5">
        <w:rPr>
          <w:rFonts w:ascii="Arial" w:hAnsi="Arial" w:cs="Arial"/>
          <w:sz w:val="24"/>
          <w:szCs w:val="24"/>
        </w:rPr>
        <w:t>descontrole nas</w:t>
      </w:r>
      <w:r w:rsidRPr="00C01DA5">
        <w:rPr>
          <w:rFonts w:ascii="Arial" w:hAnsi="Arial" w:cs="Arial"/>
          <w:sz w:val="24"/>
          <w:szCs w:val="24"/>
        </w:rPr>
        <w:t xml:space="preserve"> contas p</w:t>
      </w:r>
      <w:r w:rsidR="00235F88" w:rsidRPr="00C01DA5">
        <w:rPr>
          <w:rFonts w:ascii="Arial" w:hAnsi="Arial" w:cs="Arial"/>
          <w:sz w:val="24"/>
          <w:szCs w:val="24"/>
        </w:rPr>
        <w:t>úblicas gerando uma</w:t>
      </w:r>
      <w:r w:rsidRPr="00C01DA5">
        <w:rPr>
          <w:rFonts w:ascii="Arial" w:hAnsi="Arial" w:cs="Arial"/>
          <w:sz w:val="24"/>
          <w:szCs w:val="24"/>
        </w:rPr>
        <w:t xml:space="preserve"> obrigação de contingenciamento de recursos próprios para honrar os juros e serviços da dívida. </w:t>
      </w:r>
    </w:p>
    <w:p w:rsidR="00D20DFD" w:rsidRPr="00C01DA5" w:rsidRDefault="00D20DFD" w:rsidP="00FF1C44">
      <w:pPr>
        <w:pStyle w:val="PargrafodaLista"/>
        <w:spacing w:after="240" w:line="360" w:lineRule="auto"/>
        <w:ind w:left="0"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C01DA5">
        <w:rPr>
          <w:rFonts w:ascii="Arial" w:hAnsi="Arial" w:cs="Arial"/>
          <w:sz w:val="24"/>
          <w:szCs w:val="24"/>
        </w:rPr>
        <w:t>Para a economia de um país, os efeitos dos déficits públicos e o acúmulo de dívidas podem gerar menor crescimento do PIB e elevação das taxas de juros. Com dívida maior, aumenta o custo de captação do Governo, elevando as taxas de juros (COSTA, 2008). A elevação dos juros causa um crowding out dos investimentos privados (aumenta o custo do investimento privado), reduzindo o crescimento econômico. Nesse caso, portanto, o endividamento público provoca efeitos nocivos importantes na conjuntura e estrutura econômica de um país.</w:t>
      </w:r>
    </w:p>
    <w:p w:rsidR="00CC6C47" w:rsidRPr="00C01DA5" w:rsidRDefault="00CC6C47" w:rsidP="00FF1C44">
      <w:pPr>
        <w:pStyle w:val="PargrafodaLista"/>
        <w:spacing w:after="240" w:line="360" w:lineRule="auto"/>
        <w:ind w:left="0"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CC6C47" w:rsidRPr="00EF778D" w:rsidRDefault="00CC6C47" w:rsidP="00CC6C47">
      <w:pPr>
        <w:pStyle w:val="PargrafodaLista"/>
        <w:spacing w:after="0" w:line="360" w:lineRule="auto"/>
        <w:ind w:left="0"/>
        <w:outlineLvl w:val="0"/>
        <w:rPr>
          <w:rFonts w:ascii="Arial" w:hAnsi="Arial" w:cs="Arial"/>
          <w:sz w:val="24"/>
          <w:szCs w:val="24"/>
        </w:rPr>
      </w:pPr>
      <w:r w:rsidRPr="00EF778D">
        <w:rPr>
          <w:rFonts w:ascii="Arial" w:hAnsi="Arial" w:cs="Arial"/>
          <w:sz w:val="24"/>
          <w:szCs w:val="24"/>
        </w:rPr>
        <w:t>2.2 A LRF E O CONTROLE DO ENDIVIDAMENTO PÚBLICO</w:t>
      </w:r>
    </w:p>
    <w:p w:rsidR="00EF778D" w:rsidRDefault="00EF778D" w:rsidP="00FF1C44">
      <w:pPr>
        <w:pStyle w:val="PargrafodaLista"/>
        <w:spacing w:after="240" w:line="360" w:lineRule="auto"/>
        <w:ind w:left="0"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E57B0E" w:rsidRPr="00C01DA5" w:rsidRDefault="00E57B0E" w:rsidP="00FF1C44">
      <w:pPr>
        <w:pStyle w:val="PargrafodaLista"/>
        <w:spacing w:after="240" w:line="360" w:lineRule="auto"/>
        <w:ind w:left="0"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C01DA5">
        <w:rPr>
          <w:rFonts w:ascii="Arial" w:hAnsi="Arial" w:cs="Arial"/>
          <w:sz w:val="24"/>
          <w:szCs w:val="24"/>
        </w:rPr>
        <w:t>Desta forma Inúmeros países têm adotado ferramentas poderosas para controlar o endividamento e o aumento dos gastos públicos. Como exemplos, podemos citar Estados Unidos, Nova Zelândia, Argentina e o próprio Brasil (COSTA, 2008).</w:t>
      </w:r>
    </w:p>
    <w:p w:rsidR="00E57B0E" w:rsidRPr="00C01DA5" w:rsidRDefault="00E57B0E" w:rsidP="00FF1C44">
      <w:pPr>
        <w:pStyle w:val="PargrafodaLista"/>
        <w:spacing w:after="240" w:line="360" w:lineRule="auto"/>
        <w:ind w:left="0"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C01DA5">
        <w:rPr>
          <w:rFonts w:ascii="Arial" w:hAnsi="Arial" w:cs="Arial"/>
          <w:sz w:val="24"/>
          <w:szCs w:val="24"/>
        </w:rPr>
        <w:t>Nesse sentido a regra impõe ao governo uma gestão fiscal responsável tendo objetivos como: diminuir e manter a dívida pública para patamares aceitáveis; estabelecer metas para graus de riqueza líquida que suportem alguns choques; administrar os riscos sobre o Tesouro; delinear políticas que possam prever o nível e a estabilidade dos tributos.</w:t>
      </w:r>
    </w:p>
    <w:p w:rsidR="005D5763" w:rsidRPr="00C01DA5" w:rsidRDefault="00E57B0E" w:rsidP="00885FE9">
      <w:pPr>
        <w:pStyle w:val="PargrafodaLista"/>
        <w:spacing w:after="0" w:line="360" w:lineRule="auto"/>
        <w:ind w:left="0"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C01DA5">
        <w:rPr>
          <w:rFonts w:ascii="Arial" w:hAnsi="Arial" w:cs="Arial"/>
          <w:sz w:val="24"/>
          <w:szCs w:val="24"/>
        </w:rPr>
        <w:t>Com esse objetivo</w:t>
      </w:r>
      <w:r w:rsidR="004C61F9" w:rsidRPr="00C01DA5">
        <w:rPr>
          <w:rFonts w:ascii="Arial" w:hAnsi="Arial" w:cs="Arial"/>
          <w:sz w:val="24"/>
          <w:szCs w:val="24"/>
        </w:rPr>
        <w:t>, a LRF surg</w:t>
      </w:r>
      <w:r w:rsidR="00996DB8" w:rsidRPr="00C01DA5">
        <w:rPr>
          <w:rFonts w:ascii="Arial" w:hAnsi="Arial" w:cs="Arial"/>
          <w:sz w:val="24"/>
          <w:szCs w:val="24"/>
        </w:rPr>
        <w:t>e em 2000 para estabelecer normas de finanças públicas voltadas para a responsabilidade na gestão fiscal</w:t>
      </w:r>
      <w:r w:rsidR="00126C84" w:rsidRPr="00C01DA5">
        <w:rPr>
          <w:rFonts w:ascii="Arial" w:hAnsi="Arial" w:cs="Arial"/>
          <w:sz w:val="24"/>
          <w:szCs w:val="24"/>
        </w:rPr>
        <w:t xml:space="preserve">, dívida pública externa e interna, incluída a das autarquias, fundações e demais entidades controladas pelo poder público. </w:t>
      </w:r>
      <w:r w:rsidR="00485F0D" w:rsidRPr="00C01DA5">
        <w:rPr>
          <w:rFonts w:ascii="Arial" w:hAnsi="Arial" w:cs="Arial"/>
          <w:sz w:val="24"/>
          <w:szCs w:val="24"/>
        </w:rPr>
        <w:t>Portanto</w:t>
      </w:r>
      <w:r w:rsidR="0064777B" w:rsidRPr="00C01DA5">
        <w:rPr>
          <w:rFonts w:ascii="Arial" w:hAnsi="Arial" w:cs="Arial"/>
          <w:sz w:val="24"/>
          <w:szCs w:val="24"/>
        </w:rPr>
        <w:t>, no</w:t>
      </w:r>
      <w:r w:rsidR="00485F0D" w:rsidRPr="00C01DA5">
        <w:rPr>
          <w:rFonts w:ascii="Arial" w:hAnsi="Arial" w:cs="Arial"/>
          <w:sz w:val="24"/>
          <w:szCs w:val="24"/>
        </w:rPr>
        <w:t xml:space="preserve"> Capítulo VII a LRF trata da Dívida e do End</w:t>
      </w:r>
      <w:r w:rsidR="009E502A" w:rsidRPr="00C01DA5">
        <w:rPr>
          <w:rFonts w:ascii="Arial" w:hAnsi="Arial" w:cs="Arial"/>
          <w:sz w:val="24"/>
          <w:szCs w:val="24"/>
        </w:rPr>
        <w:t>ividamento trazendo conceitos</w:t>
      </w:r>
      <w:r w:rsidR="00485F0D" w:rsidRPr="00C01DA5">
        <w:rPr>
          <w:rFonts w:ascii="Arial" w:hAnsi="Arial" w:cs="Arial"/>
          <w:sz w:val="24"/>
          <w:szCs w:val="24"/>
        </w:rPr>
        <w:t xml:space="preserve"> abordados</w:t>
      </w:r>
      <w:r w:rsidR="009E502A" w:rsidRPr="00C01DA5">
        <w:rPr>
          <w:rFonts w:ascii="Arial" w:hAnsi="Arial" w:cs="Arial"/>
          <w:sz w:val="24"/>
          <w:szCs w:val="24"/>
        </w:rPr>
        <w:t xml:space="preserve"> a seguir:</w:t>
      </w:r>
    </w:p>
    <w:p w:rsidR="009E502A" w:rsidRPr="00C01DA5" w:rsidRDefault="0064777B" w:rsidP="00885FE9">
      <w:pPr>
        <w:spacing w:line="360" w:lineRule="auto"/>
        <w:ind w:firstLine="567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Quanto a dívida pública, o </w:t>
      </w:r>
      <w:r w:rsidR="009E502A" w:rsidRPr="00C01DA5">
        <w:rPr>
          <w:rFonts w:ascii="Arial" w:hAnsi="Arial" w:cs="Arial"/>
        </w:rPr>
        <w:t xml:space="preserve">capítulo VII DA DÍVIDA E DO ENDIVIDAMENTO da lei supracitada, </w:t>
      </w:r>
      <w:r w:rsidRPr="00C01DA5">
        <w:rPr>
          <w:rFonts w:ascii="Arial" w:hAnsi="Arial" w:cs="Arial"/>
        </w:rPr>
        <w:t>considera:</w:t>
      </w:r>
    </w:p>
    <w:p w:rsidR="0064777B" w:rsidRPr="00885FE9" w:rsidRDefault="00CC6C47" w:rsidP="00885FE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5FE9">
        <w:rPr>
          <w:rFonts w:ascii="Arial" w:hAnsi="Arial" w:cs="Arial"/>
          <w:b/>
          <w:sz w:val="20"/>
          <w:szCs w:val="20"/>
        </w:rPr>
        <w:lastRenderedPageBreak/>
        <w:t>Quadro 1</w:t>
      </w:r>
      <w:r w:rsidR="00225C81" w:rsidRPr="00885FE9">
        <w:rPr>
          <w:rFonts w:ascii="Arial" w:hAnsi="Arial" w:cs="Arial"/>
          <w:b/>
          <w:sz w:val="20"/>
          <w:szCs w:val="20"/>
        </w:rPr>
        <w:t xml:space="preserve"> – Tratamento conceitual relativo a divida Pública, 2014.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260"/>
      </w:tblGrid>
      <w:tr w:rsidR="0064777B" w:rsidRPr="00C01DA5" w:rsidTr="00CC6C47">
        <w:tc>
          <w:tcPr>
            <w:tcW w:w="1951" w:type="dxa"/>
            <w:shd w:val="clear" w:color="auto" w:fill="auto"/>
          </w:tcPr>
          <w:p w:rsidR="0064777B" w:rsidRPr="00C01DA5" w:rsidRDefault="0064777B" w:rsidP="0086221C">
            <w:pPr>
              <w:spacing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A5">
              <w:rPr>
                <w:rFonts w:ascii="Arial" w:hAnsi="Arial" w:cs="Arial"/>
                <w:sz w:val="22"/>
                <w:szCs w:val="22"/>
              </w:rPr>
              <w:t>Dívida Pública consolidada ou fundada</w:t>
            </w:r>
          </w:p>
        </w:tc>
        <w:tc>
          <w:tcPr>
            <w:tcW w:w="7260" w:type="dxa"/>
            <w:shd w:val="clear" w:color="auto" w:fill="auto"/>
          </w:tcPr>
          <w:p w:rsidR="0064777B" w:rsidRPr="00C01DA5" w:rsidRDefault="0064777B" w:rsidP="0086221C">
            <w:pPr>
              <w:spacing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A5">
              <w:rPr>
                <w:rFonts w:ascii="Arial" w:hAnsi="Arial" w:cs="Arial"/>
                <w:sz w:val="22"/>
                <w:szCs w:val="22"/>
              </w:rPr>
              <w:t>Montante total, apurado sem duplicidade, das obrigações financeiras do ente da Federação, assumidas em virtude de leis, contratos, convênios ou tratados e da realização de operações de crédito, para amortização em prazo superior a doze meses</w:t>
            </w:r>
          </w:p>
        </w:tc>
      </w:tr>
      <w:tr w:rsidR="0064777B" w:rsidRPr="00C01DA5" w:rsidTr="00CC6C47">
        <w:tc>
          <w:tcPr>
            <w:tcW w:w="1951" w:type="dxa"/>
            <w:shd w:val="clear" w:color="auto" w:fill="auto"/>
          </w:tcPr>
          <w:p w:rsidR="0064777B" w:rsidRPr="00C01DA5" w:rsidRDefault="0064777B" w:rsidP="0086221C">
            <w:pPr>
              <w:spacing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A5">
              <w:rPr>
                <w:rFonts w:ascii="Arial" w:hAnsi="Arial" w:cs="Arial"/>
                <w:sz w:val="22"/>
                <w:szCs w:val="22"/>
              </w:rPr>
              <w:t>Dívida pública mobiliária</w:t>
            </w:r>
          </w:p>
        </w:tc>
        <w:tc>
          <w:tcPr>
            <w:tcW w:w="7260" w:type="dxa"/>
            <w:shd w:val="clear" w:color="auto" w:fill="auto"/>
          </w:tcPr>
          <w:p w:rsidR="0064777B" w:rsidRPr="00C01DA5" w:rsidRDefault="0064777B" w:rsidP="0086221C">
            <w:pPr>
              <w:spacing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A5">
              <w:rPr>
                <w:rFonts w:ascii="Arial" w:hAnsi="Arial" w:cs="Arial"/>
                <w:sz w:val="22"/>
                <w:szCs w:val="22"/>
              </w:rPr>
              <w:t>Dívida pública representada por títulos emitidos pela União, inclusive os do Banco Central do Brasil, Estados e Municípios</w:t>
            </w:r>
          </w:p>
        </w:tc>
      </w:tr>
      <w:tr w:rsidR="0064777B" w:rsidRPr="00C01DA5" w:rsidTr="00CC6C47">
        <w:tc>
          <w:tcPr>
            <w:tcW w:w="1951" w:type="dxa"/>
            <w:shd w:val="clear" w:color="auto" w:fill="auto"/>
          </w:tcPr>
          <w:p w:rsidR="0064777B" w:rsidRPr="00C01DA5" w:rsidRDefault="0064777B" w:rsidP="0086221C">
            <w:pPr>
              <w:spacing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A5">
              <w:rPr>
                <w:rFonts w:ascii="Arial" w:hAnsi="Arial" w:cs="Arial"/>
                <w:sz w:val="22"/>
                <w:szCs w:val="22"/>
              </w:rPr>
              <w:t>Operação de crédito</w:t>
            </w:r>
          </w:p>
        </w:tc>
        <w:tc>
          <w:tcPr>
            <w:tcW w:w="7260" w:type="dxa"/>
            <w:shd w:val="clear" w:color="auto" w:fill="auto"/>
          </w:tcPr>
          <w:p w:rsidR="0064777B" w:rsidRPr="00C01DA5" w:rsidRDefault="0064777B" w:rsidP="0086221C">
            <w:pPr>
              <w:spacing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A5">
              <w:rPr>
                <w:rFonts w:ascii="Arial" w:hAnsi="Arial" w:cs="Arial"/>
                <w:sz w:val="22"/>
                <w:szCs w:val="22"/>
              </w:rPr>
              <w:t>Compromisso financeiro assumido em razão de mútuo, abertura de crédito, emissão e aceite de título, aquisição financiada de bens, recebimento antecipado de valores provenientes da venda a termo de bens e serviços, arrendamento mercantil e outras operações assemelhadas, inclusive com o uso de derivativos financeiros</w:t>
            </w:r>
          </w:p>
        </w:tc>
      </w:tr>
      <w:tr w:rsidR="0064777B" w:rsidRPr="00C01DA5" w:rsidTr="00CC6C47">
        <w:tc>
          <w:tcPr>
            <w:tcW w:w="1951" w:type="dxa"/>
            <w:shd w:val="clear" w:color="auto" w:fill="auto"/>
          </w:tcPr>
          <w:p w:rsidR="0064777B" w:rsidRPr="00C01DA5" w:rsidRDefault="0064777B" w:rsidP="0086221C">
            <w:pPr>
              <w:spacing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A5">
              <w:rPr>
                <w:rFonts w:ascii="Arial" w:hAnsi="Arial" w:cs="Arial"/>
                <w:sz w:val="22"/>
                <w:szCs w:val="22"/>
              </w:rPr>
              <w:t>Concessão de garantia</w:t>
            </w:r>
          </w:p>
        </w:tc>
        <w:tc>
          <w:tcPr>
            <w:tcW w:w="7260" w:type="dxa"/>
            <w:shd w:val="clear" w:color="auto" w:fill="auto"/>
          </w:tcPr>
          <w:p w:rsidR="0064777B" w:rsidRPr="00C01DA5" w:rsidRDefault="0064777B" w:rsidP="0086221C">
            <w:pPr>
              <w:spacing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A5">
              <w:rPr>
                <w:rFonts w:ascii="Arial" w:hAnsi="Arial" w:cs="Arial"/>
                <w:sz w:val="22"/>
                <w:szCs w:val="22"/>
              </w:rPr>
              <w:t>Compromisso de adimplência de obrigação financeira ou contratual assumida por ente da Federação ou entidade a ele vinculada</w:t>
            </w:r>
          </w:p>
        </w:tc>
      </w:tr>
      <w:tr w:rsidR="0064777B" w:rsidRPr="00C01DA5" w:rsidTr="00CC6C47">
        <w:tc>
          <w:tcPr>
            <w:tcW w:w="1951" w:type="dxa"/>
            <w:shd w:val="clear" w:color="auto" w:fill="auto"/>
          </w:tcPr>
          <w:p w:rsidR="0064777B" w:rsidRPr="00C01DA5" w:rsidRDefault="0064777B" w:rsidP="0086221C">
            <w:pPr>
              <w:spacing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A5">
              <w:rPr>
                <w:rFonts w:ascii="Arial" w:hAnsi="Arial" w:cs="Arial"/>
                <w:sz w:val="22"/>
                <w:szCs w:val="22"/>
              </w:rPr>
              <w:t>Refinanciamento da dívida mobiliária</w:t>
            </w:r>
          </w:p>
        </w:tc>
        <w:tc>
          <w:tcPr>
            <w:tcW w:w="7260" w:type="dxa"/>
            <w:shd w:val="clear" w:color="auto" w:fill="auto"/>
          </w:tcPr>
          <w:p w:rsidR="0064777B" w:rsidRPr="00C01DA5" w:rsidRDefault="0064777B" w:rsidP="0086221C">
            <w:pPr>
              <w:spacing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A5">
              <w:rPr>
                <w:rFonts w:ascii="Arial" w:hAnsi="Arial" w:cs="Arial"/>
                <w:sz w:val="22"/>
                <w:szCs w:val="22"/>
              </w:rPr>
              <w:t>Emissão de títulos para pagamento do principal acrescido da atualização monetária.</w:t>
            </w:r>
          </w:p>
        </w:tc>
      </w:tr>
    </w:tbl>
    <w:p w:rsidR="0064777B" w:rsidRPr="003A16FF" w:rsidRDefault="00225C81" w:rsidP="00225C81">
      <w:pPr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3A16FF">
        <w:rPr>
          <w:rFonts w:ascii="Arial" w:hAnsi="Arial" w:cs="Arial"/>
          <w:b/>
          <w:sz w:val="20"/>
          <w:szCs w:val="20"/>
        </w:rPr>
        <w:t>Fon</w:t>
      </w:r>
      <w:r w:rsidR="00CC6C47" w:rsidRPr="003A16FF">
        <w:rPr>
          <w:rFonts w:ascii="Arial" w:hAnsi="Arial" w:cs="Arial"/>
          <w:b/>
          <w:sz w:val="20"/>
          <w:szCs w:val="20"/>
        </w:rPr>
        <w:t>te</w:t>
      </w:r>
      <w:r w:rsidR="00CC6C47" w:rsidRPr="003A16FF">
        <w:rPr>
          <w:rFonts w:ascii="Arial" w:hAnsi="Arial" w:cs="Arial"/>
          <w:sz w:val="20"/>
          <w:szCs w:val="20"/>
        </w:rPr>
        <w:t xml:space="preserve">: </w:t>
      </w:r>
      <w:r w:rsidR="00CC6C47" w:rsidRPr="003A16FF">
        <w:rPr>
          <w:rFonts w:ascii="Arial" w:eastAsia="Calibri" w:hAnsi="Arial" w:cs="Arial"/>
          <w:sz w:val="20"/>
          <w:szCs w:val="20"/>
        </w:rPr>
        <w:t>(BRASIL, LRF, 2000)”</w:t>
      </w:r>
      <w:r w:rsidRPr="003A16FF">
        <w:rPr>
          <w:rFonts w:ascii="Arial" w:hAnsi="Arial" w:cs="Arial"/>
          <w:sz w:val="20"/>
          <w:szCs w:val="20"/>
        </w:rPr>
        <w:t xml:space="preserve">, Elaboração dos autores </w:t>
      </w:r>
    </w:p>
    <w:p w:rsidR="009E502A" w:rsidRPr="00C01DA5" w:rsidRDefault="00EE0846" w:rsidP="00CF191A">
      <w:pPr>
        <w:spacing w:line="360" w:lineRule="auto"/>
        <w:ind w:firstLine="567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No </w:t>
      </w:r>
      <w:r w:rsidR="009E502A" w:rsidRPr="00C01DA5">
        <w:rPr>
          <w:rFonts w:ascii="Arial" w:hAnsi="Arial" w:cs="Arial"/>
        </w:rPr>
        <w:t xml:space="preserve">artigo 30, A LRF determinou que a proposta de limites globais para o montante da dívida consolidada da União, Estados e Municípios fosse enviada, pelo Senado Federal, no prazo de 90 dias após a sua publicação. </w:t>
      </w:r>
    </w:p>
    <w:p w:rsidR="009E502A" w:rsidRPr="00C01DA5" w:rsidRDefault="009E502A" w:rsidP="00CF191A">
      <w:pPr>
        <w:spacing w:line="360" w:lineRule="auto"/>
        <w:ind w:firstLine="567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>Sendo assim, em 21/12/2001, em atendimento ao disposto no artigo 30, inciso I da LRF são apresentadas as propostas para limites de endividamento para União, Estados e Municípios. Os limites foram definidos em proporção da Receita Corrente Líquida – RCL, e serão abordados posteriormente.</w:t>
      </w:r>
    </w:p>
    <w:p w:rsidR="005D5763" w:rsidRPr="00C01DA5" w:rsidRDefault="005D5763" w:rsidP="00CF19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</w:rPr>
      </w:pPr>
      <w:r w:rsidRPr="00C01DA5">
        <w:rPr>
          <w:rFonts w:ascii="Arial" w:eastAsia="Calibri" w:hAnsi="Arial" w:cs="Arial"/>
        </w:rPr>
        <w:t>A LRF impõe limites para o endividamento público e todos os aspectos de finanças públicas. Como consequência ao cumprimento das normas, há um ajuste fiscal que poderá levar a uma maior disponibilidade de recursos a serem aplicados para a melhoria dos serviços públicos. A LRF delimita os gastos públicos com o endividamento e com pessoal, além de controlar os aspectos orçamentários desde sua elaboração até a sua execução, através de uma ação planejada e transparente.</w:t>
      </w:r>
    </w:p>
    <w:p w:rsidR="00BF7945" w:rsidRPr="00C01DA5" w:rsidRDefault="005D5763" w:rsidP="00CF19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</w:rPr>
      </w:pPr>
      <w:r w:rsidRPr="00C01DA5">
        <w:rPr>
          <w:rFonts w:ascii="Arial" w:eastAsia="Calibri" w:hAnsi="Arial" w:cs="Arial"/>
        </w:rPr>
        <w:t>Diferentemente de tentativas anteriores para limitação dos gastos públicos, a LRF trouxe como inovação o planejamento governamental via orçamento e a punição para os maus gestores públicos. (BRASIL, LRF, 2000)</w:t>
      </w:r>
      <w:r w:rsidR="00E57B0E" w:rsidRPr="00C01DA5">
        <w:rPr>
          <w:rFonts w:ascii="Arial" w:hAnsi="Arial" w:cs="Arial"/>
        </w:rPr>
        <w:t>.</w:t>
      </w:r>
      <w:r w:rsidR="00BF7945" w:rsidRPr="00C01DA5">
        <w:rPr>
          <w:rFonts w:ascii="Arial" w:hAnsi="Arial" w:cs="Arial"/>
        </w:rPr>
        <w:t xml:space="preserve"> O parágrafo 6º do </w:t>
      </w:r>
      <w:r w:rsidR="00BF7945" w:rsidRPr="00C01DA5">
        <w:rPr>
          <w:rFonts w:ascii="Arial" w:hAnsi="Arial" w:cs="Arial"/>
        </w:rPr>
        <w:lastRenderedPageBreak/>
        <w:t xml:space="preserve">artigo 30 da LRF prevê a alteração dos limites, em caso de instabilidade econômica ou alterações nas políticas monetária ou cambial, de forma a mantê-los adequados às novas condições. A LRF não determina os limites de endividamento, nem a trajetória, ou mesmo o prazo máximo para que os entes atinjam os limites (15 anos), cabendo essas definições, conforme já referido, ao Senado Federal </w:t>
      </w:r>
      <w:r w:rsidR="00BF7945" w:rsidRPr="00C01DA5">
        <w:rPr>
          <w:rFonts w:ascii="Arial" w:eastAsia="Calibri" w:hAnsi="Arial" w:cs="Arial"/>
        </w:rPr>
        <w:t>(NASCIMENTO, DEBUS, 2000).</w:t>
      </w:r>
    </w:p>
    <w:p w:rsidR="00BF7945" w:rsidRPr="00C01DA5" w:rsidRDefault="00BF7945" w:rsidP="00CF19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i/>
        </w:rPr>
      </w:pPr>
      <w:r w:rsidRPr="00C01DA5">
        <w:rPr>
          <w:rFonts w:ascii="Arial" w:eastAsia="Calibri" w:hAnsi="Arial" w:cs="Arial"/>
        </w:rPr>
        <w:t>Portanto, através da Resolução n° 40/2001 o Senado Federal define que até 15 anos após a Sanção dessa Resolução, os entes públicos est</w:t>
      </w:r>
      <w:r w:rsidR="00A14DB4" w:rsidRPr="00C01DA5">
        <w:rPr>
          <w:rFonts w:ascii="Arial" w:eastAsia="Calibri" w:hAnsi="Arial" w:cs="Arial"/>
        </w:rPr>
        <w:t xml:space="preserve">ão sujeitos às normas ilustradas no </w:t>
      </w:r>
      <w:r w:rsidR="00CC6C47" w:rsidRPr="00C01DA5">
        <w:rPr>
          <w:rFonts w:ascii="Arial" w:eastAsia="Calibri" w:hAnsi="Arial" w:cs="Arial"/>
        </w:rPr>
        <w:t>QUADRO 2</w:t>
      </w:r>
      <w:r w:rsidR="00225C81" w:rsidRPr="00C01DA5">
        <w:rPr>
          <w:rFonts w:ascii="Arial" w:eastAsia="Calibri" w:hAnsi="Arial" w:cs="Arial"/>
        </w:rPr>
        <w:t>.</w:t>
      </w:r>
    </w:p>
    <w:p w:rsidR="00A14DB4" w:rsidRPr="00CF191A" w:rsidRDefault="00CC6C47" w:rsidP="00CF191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</w:rPr>
      </w:pPr>
      <w:r w:rsidRPr="00CF191A">
        <w:rPr>
          <w:rFonts w:ascii="Arial" w:eastAsia="Calibri" w:hAnsi="Arial" w:cs="Arial"/>
          <w:b/>
          <w:sz w:val="20"/>
          <w:szCs w:val="20"/>
        </w:rPr>
        <w:t>Quadro 2</w:t>
      </w:r>
      <w:r w:rsidR="00225C81" w:rsidRPr="00CF191A">
        <w:rPr>
          <w:rFonts w:ascii="Arial" w:eastAsia="Calibri" w:hAnsi="Arial" w:cs="Arial"/>
          <w:b/>
          <w:sz w:val="20"/>
          <w:szCs w:val="20"/>
        </w:rPr>
        <w:t xml:space="preserve">: </w:t>
      </w:r>
      <w:r w:rsidR="00EE0846" w:rsidRPr="00CF191A">
        <w:rPr>
          <w:rFonts w:ascii="Arial" w:eastAsia="Calibri" w:hAnsi="Arial" w:cs="Arial"/>
          <w:b/>
          <w:sz w:val="20"/>
          <w:szCs w:val="20"/>
        </w:rPr>
        <w:t>Proposta para Limites de Endividamento</w:t>
      </w:r>
    </w:p>
    <w:p w:rsidR="00EE0846" w:rsidRPr="00CF191A" w:rsidRDefault="00EE0846" w:rsidP="00CF191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1842"/>
        <w:gridCol w:w="1244"/>
        <w:gridCol w:w="4111"/>
      </w:tblGrid>
      <w:tr w:rsidR="00A14DB4" w:rsidRPr="00C01DA5" w:rsidTr="00225C81">
        <w:trPr>
          <w:trHeight w:val="857"/>
        </w:trPr>
        <w:tc>
          <w:tcPr>
            <w:tcW w:w="1842" w:type="dxa"/>
            <w:shd w:val="clear" w:color="auto" w:fill="auto"/>
          </w:tcPr>
          <w:p w:rsidR="00A14DB4" w:rsidRPr="00C01DA5" w:rsidRDefault="00A14DB4" w:rsidP="00225C81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C01DA5">
              <w:rPr>
                <w:rFonts w:ascii="Arial" w:hAnsi="Arial" w:cs="Arial"/>
                <w:b/>
              </w:rPr>
              <w:t>Entes</w:t>
            </w:r>
          </w:p>
        </w:tc>
        <w:tc>
          <w:tcPr>
            <w:tcW w:w="1842" w:type="dxa"/>
            <w:shd w:val="clear" w:color="auto" w:fill="auto"/>
          </w:tcPr>
          <w:p w:rsidR="00A14DB4" w:rsidRPr="00C01DA5" w:rsidRDefault="00A14DB4" w:rsidP="00225C81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C01DA5">
              <w:rPr>
                <w:rFonts w:ascii="Arial" w:hAnsi="Arial" w:cs="Arial"/>
                <w:b/>
              </w:rPr>
              <w:t>Limite Proposto (RCL)</w:t>
            </w:r>
          </w:p>
        </w:tc>
        <w:tc>
          <w:tcPr>
            <w:tcW w:w="1244" w:type="dxa"/>
            <w:shd w:val="clear" w:color="auto" w:fill="auto"/>
          </w:tcPr>
          <w:p w:rsidR="00A14DB4" w:rsidRPr="00C01DA5" w:rsidRDefault="00A14DB4" w:rsidP="00225C81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C01DA5">
              <w:rPr>
                <w:rFonts w:ascii="Arial" w:hAnsi="Arial" w:cs="Arial"/>
                <w:b/>
              </w:rPr>
              <w:t>Vigência</w:t>
            </w:r>
          </w:p>
        </w:tc>
        <w:tc>
          <w:tcPr>
            <w:tcW w:w="4111" w:type="dxa"/>
            <w:shd w:val="clear" w:color="auto" w:fill="auto"/>
          </w:tcPr>
          <w:p w:rsidR="00A14DB4" w:rsidRPr="00C01DA5" w:rsidRDefault="00A14DB4" w:rsidP="00225C81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C01DA5">
              <w:rPr>
                <w:rFonts w:ascii="Arial" w:hAnsi="Arial" w:cs="Arial"/>
                <w:b/>
              </w:rPr>
              <w:t>Trajetória</w:t>
            </w:r>
          </w:p>
        </w:tc>
      </w:tr>
      <w:tr w:rsidR="00A14DB4" w:rsidRPr="00C01DA5" w:rsidTr="00FF1C44">
        <w:tc>
          <w:tcPr>
            <w:tcW w:w="1842" w:type="dxa"/>
            <w:shd w:val="clear" w:color="auto" w:fill="auto"/>
          </w:tcPr>
          <w:p w:rsidR="00A14DB4" w:rsidRPr="00C01DA5" w:rsidRDefault="00A14DB4" w:rsidP="00225C81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</w:rPr>
            </w:pPr>
            <w:r w:rsidRPr="00C01DA5">
              <w:rPr>
                <w:rFonts w:ascii="Arial" w:hAnsi="Arial" w:cs="Arial"/>
                <w:b/>
              </w:rPr>
              <w:t>União</w:t>
            </w:r>
          </w:p>
        </w:tc>
        <w:tc>
          <w:tcPr>
            <w:tcW w:w="1842" w:type="dxa"/>
            <w:shd w:val="clear" w:color="auto" w:fill="auto"/>
          </w:tcPr>
          <w:p w:rsidR="00A14DB4" w:rsidRPr="00C01DA5" w:rsidRDefault="00A14DB4" w:rsidP="00225C81">
            <w:pPr>
              <w:spacing w:after="100" w:afterAutospacing="1" w:line="360" w:lineRule="auto"/>
              <w:jc w:val="center"/>
              <w:rPr>
                <w:rFonts w:ascii="Arial" w:hAnsi="Arial" w:cs="Arial"/>
              </w:rPr>
            </w:pPr>
            <w:r w:rsidRPr="00C01DA5">
              <w:rPr>
                <w:rFonts w:ascii="Arial" w:hAnsi="Arial" w:cs="Arial"/>
              </w:rPr>
              <w:t>3,5</w:t>
            </w:r>
          </w:p>
        </w:tc>
        <w:tc>
          <w:tcPr>
            <w:tcW w:w="1244" w:type="dxa"/>
            <w:shd w:val="clear" w:color="auto" w:fill="auto"/>
          </w:tcPr>
          <w:p w:rsidR="00A14DB4" w:rsidRPr="00C01DA5" w:rsidRDefault="00A14DB4" w:rsidP="00225C81">
            <w:pPr>
              <w:spacing w:after="100" w:afterAutospacing="1" w:line="360" w:lineRule="auto"/>
              <w:jc w:val="center"/>
              <w:rPr>
                <w:rFonts w:ascii="Arial" w:hAnsi="Arial" w:cs="Arial"/>
              </w:rPr>
            </w:pPr>
            <w:r w:rsidRPr="00C01DA5">
              <w:rPr>
                <w:rFonts w:ascii="Arial" w:hAnsi="Arial" w:cs="Arial"/>
              </w:rPr>
              <w:t>Imediata</w:t>
            </w:r>
          </w:p>
        </w:tc>
        <w:tc>
          <w:tcPr>
            <w:tcW w:w="4111" w:type="dxa"/>
            <w:shd w:val="clear" w:color="auto" w:fill="auto"/>
          </w:tcPr>
          <w:p w:rsidR="00A14DB4" w:rsidRPr="00C01DA5" w:rsidRDefault="00EE0846" w:rsidP="00225C81">
            <w:pPr>
              <w:spacing w:after="100" w:afterAutospacing="1" w:line="360" w:lineRule="auto"/>
              <w:jc w:val="center"/>
              <w:rPr>
                <w:rFonts w:ascii="Arial" w:hAnsi="Arial" w:cs="Arial"/>
              </w:rPr>
            </w:pPr>
            <w:r w:rsidRPr="00C01DA5">
              <w:rPr>
                <w:rFonts w:ascii="Arial" w:hAnsi="Arial" w:cs="Arial"/>
              </w:rPr>
              <w:t>Retorno Imediato</w:t>
            </w:r>
          </w:p>
        </w:tc>
      </w:tr>
      <w:tr w:rsidR="00A14DB4" w:rsidRPr="00C01DA5" w:rsidTr="00FF1C44">
        <w:tc>
          <w:tcPr>
            <w:tcW w:w="1842" w:type="dxa"/>
            <w:shd w:val="clear" w:color="auto" w:fill="auto"/>
          </w:tcPr>
          <w:p w:rsidR="00A14DB4" w:rsidRPr="00C01DA5" w:rsidRDefault="00A14DB4" w:rsidP="00225C81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</w:rPr>
            </w:pPr>
            <w:r w:rsidRPr="00C01DA5">
              <w:rPr>
                <w:rFonts w:ascii="Arial" w:hAnsi="Arial" w:cs="Arial"/>
                <w:b/>
              </w:rPr>
              <w:t>Estados</w:t>
            </w:r>
          </w:p>
        </w:tc>
        <w:tc>
          <w:tcPr>
            <w:tcW w:w="1842" w:type="dxa"/>
            <w:shd w:val="clear" w:color="auto" w:fill="auto"/>
          </w:tcPr>
          <w:p w:rsidR="00A14DB4" w:rsidRPr="00C01DA5" w:rsidRDefault="00A14DB4" w:rsidP="00225C81">
            <w:pPr>
              <w:spacing w:after="100" w:afterAutospacing="1" w:line="360" w:lineRule="auto"/>
              <w:jc w:val="center"/>
              <w:rPr>
                <w:rFonts w:ascii="Arial" w:hAnsi="Arial" w:cs="Arial"/>
              </w:rPr>
            </w:pPr>
            <w:r w:rsidRPr="00C01DA5">
              <w:rPr>
                <w:rFonts w:ascii="Arial" w:hAnsi="Arial" w:cs="Arial"/>
              </w:rPr>
              <w:t>2,0</w:t>
            </w:r>
          </w:p>
        </w:tc>
        <w:tc>
          <w:tcPr>
            <w:tcW w:w="1244" w:type="dxa"/>
            <w:shd w:val="clear" w:color="auto" w:fill="auto"/>
          </w:tcPr>
          <w:p w:rsidR="00A14DB4" w:rsidRPr="00C01DA5" w:rsidRDefault="00A14DB4" w:rsidP="00225C81">
            <w:pPr>
              <w:spacing w:after="100" w:afterAutospacing="1" w:line="360" w:lineRule="auto"/>
              <w:jc w:val="center"/>
              <w:rPr>
                <w:rFonts w:ascii="Arial" w:hAnsi="Arial" w:cs="Arial"/>
              </w:rPr>
            </w:pPr>
            <w:r w:rsidRPr="00C01DA5">
              <w:rPr>
                <w:rFonts w:ascii="Arial" w:hAnsi="Arial" w:cs="Arial"/>
              </w:rPr>
              <w:t>15 anos</w:t>
            </w:r>
          </w:p>
        </w:tc>
        <w:tc>
          <w:tcPr>
            <w:tcW w:w="4111" w:type="dxa"/>
            <w:shd w:val="clear" w:color="auto" w:fill="auto"/>
          </w:tcPr>
          <w:p w:rsidR="00A14DB4" w:rsidRPr="00C01DA5" w:rsidRDefault="00A14DB4" w:rsidP="00225C81">
            <w:pPr>
              <w:spacing w:after="100" w:afterAutospacing="1" w:line="360" w:lineRule="auto"/>
              <w:jc w:val="center"/>
              <w:rPr>
                <w:rFonts w:ascii="Arial" w:hAnsi="Arial" w:cs="Arial"/>
              </w:rPr>
            </w:pPr>
            <w:r w:rsidRPr="00C01DA5">
              <w:rPr>
                <w:rFonts w:ascii="Arial" w:hAnsi="Arial" w:cs="Arial"/>
              </w:rPr>
              <w:t>Redução da razão de endividamento a cada ano, em 1/15 do excedente inicial</w:t>
            </w:r>
          </w:p>
        </w:tc>
      </w:tr>
      <w:tr w:rsidR="00A14DB4" w:rsidRPr="00C01DA5" w:rsidTr="00FF1C44">
        <w:tc>
          <w:tcPr>
            <w:tcW w:w="1842" w:type="dxa"/>
            <w:shd w:val="clear" w:color="auto" w:fill="auto"/>
          </w:tcPr>
          <w:p w:rsidR="00A14DB4" w:rsidRPr="00C01DA5" w:rsidRDefault="00A14DB4" w:rsidP="00225C81">
            <w:pPr>
              <w:spacing w:after="100" w:afterAutospacing="1" w:line="360" w:lineRule="auto"/>
              <w:jc w:val="center"/>
              <w:rPr>
                <w:rFonts w:ascii="Arial" w:hAnsi="Arial" w:cs="Arial"/>
                <w:b/>
              </w:rPr>
            </w:pPr>
            <w:r w:rsidRPr="00C01DA5">
              <w:rPr>
                <w:rFonts w:ascii="Arial" w:hAnsi="Arial" w:cs="Arial"/>
                <w:b/>
              </w:rPr>
              <w:t>Municípios</w:t>
            </w:r>
          </w:p>
        </w:tc>
        <w:tc>
          <w:tcPr>
            <w:tcW w:w="1842" w:type="dxa"/>
            <w:shd w:val="clear" w:color="auto" w:fill="auto"/>
          </w:tcPr>
          <w:p w:rsidR="00A14DB4" w:rsidRPr="00C01DA5" w:rsidRDefault="00A14DB4" w:rsidP="00225C81">
            <w:pPr>
              <w:spacing w:after="100" w:afterAutospacing="1" w:line="360" w:lineRule="auto"/>
              <w:jc w:val="center"/>
              <w:rPr>
                <w:rFonts w:ascii="Arial" w:hAnsi="Arial" w:cs="Arial"/>
              </w:rPr>
            </w:pPr>
            <w:r w:rsidRPr="00C01DA5">
              <w:rPr>
                <w:rFonts w:ascii="Arial" w:hAnsi="Arial" w:cs="Arial"/>
              </w:rPr>
              <w:t>1,2</w:t>
            </w:r>
          </w:p>
        </w:tc>
        <w:tc>
          <w:tcPr>
            <w:tcW w:w="1244" w:type="dxa"/>
            <w:shd w:val="clear" w:color="auto" w:fill="auto"/>
          </w:tcPr>
          <w:p w:rsidR="00A14DB4" w:rsidRPr="00C01DA5" w:rsidRDefault="00A14DB4" w:rsidP="00225C81">
            <w:pPr>
              <w:spacing w:after="100" w:afterAutospacing="1" w:line="360" w:lineRule="auto"/>
              <w:jc w:val="center"/>
              <w:rPr>
                <w:rFonts w:ascii="Arial" w:hAnsi="Arial" w:cs="Arial"/>
              </w:rPr>
            </w:pPr>
            <w:r w:rsidRPr="00C01DA5">
              <w:rPr>
                <w:rFonts w:ascii="Arial" w:hAnsi="Arial" w:cs="Arial"/>
              </w:rPr>
              <w:t>15 anos</w:t>
            </w:r>
          </w:p>
        </w:tc>
        <w:tc>
          <w:tcPr>
            <w:tcW w:w="4111" w:type="dxa"/>
            <w:shd w:val="clear" w:color="auto" w:fill="auto"/>
          </w:tcPr>
          <w:p w:rsidR="00A14DB4" w:rsidRPr="00C01DA5" w:rsidRDefault="00A14DB4" w:rsidP="00225C81">
            <w:pPr>
              <w:spacing w:after="100" w:afterAutospacing="1" w:line="360" w:lineRule="auto"/>
              <w:jc w:val="center"/>
              <w:rPr>
                <w:rFonts w:ascii="Arial" w:hAnsi="Arial" w:cs="Arial"/>
              </w:rPr>
            </w:pPr>
            <w:r w:rsidRPr="00C01DA5">
              <w:rPr>
                <w:rFonts w:ascii="Arial" w:hAnsi="Arial" w:cs="Arial"/>
              </w:rPr>
              <w:t>Redução da razão de endividamento a cada ano, em 1/15 do excedente inicial</w:t>
            </w:r>
          </w:p>
        </w:tc>
      </w:tr>
    </w:tbl>
    <w:p w:rsidR="00A14DB4" w:rsidRPr="00C01DA5" w:rsidRDefault="00A14DB4" w:rsidP="00A14DB4">
      <w:pPr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8220F8">
        <w:rPr>
          <w:rFonts w:ascii="Arial" w:hAnsi="Arial" w:cs="Arial"/>
          <w:b/>
          <w:sz w:val="20"/>
          <w:szCs w:val="20"/>
        </w:rPr>
        <w:t>Fonte</w:t>
      </w:r>
      <w:r w:rsidRPr="00C01DA5">
        <w:rPr>
          <w:rFonts w:ascii="Arial" w:hAnsi="Arial" w:cs="Arial"/>
          <w:sz w:val="20"/>
          <w:szCs w:val="20"/>
        </w:rPr>
        <w:t>: (NASCIMENTO, DEBUS, 2000).</w:t>
      </w:r>
    </w:p>
    <w:p w:rsidR="00A14DB4" w:rsidRPr="00C01DA5" w:rsidRDefault="00467D8E" w:rsidP="00BF794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</w:rPr>
      </w:pPr>
      <w:r w:rsidRPr="00C01DA5">
        <w:rPr>
          <w:rFonts w:ascii="Arial" w:eastAsia="Calibri" w:hAnsi="Arial" w:cs="Arial"/>
        </w:rPr>
        <w:t>Percebe-se que os limites de en</w:t>
      </w:r>
      <w:r w:rsidR="00503A6D">
        <w:rPr>
          <w:rFonts w:ascii="Arial" w:eastAsia="Calibri" w:hAnsi="Arial" w:cs="Arial"/>
        </w:rPr>
        <w:t>di</w:t>
      </w:r>
      <w:r w:rsidRPr="00C01DA5">
        <w:rPr>
          <w:rFonts w:ascii="Arial" w:eastAsia="Calibri" w:hAnsi="Arial" w:cs="Arial"/>
        </w:rPr>
        <w:t xml:space="preserve">vidamento estabelecidos pela resolução 40 são definidos em relação com a Receita Corrente Líquida (RCL) que é definida no </w:t>
      </w:r>
      <w:r w:rsidR="00F152A8" w:rsidRPr="00C01DA5">
        <w:rPr>
          <w:rFonts w:ascii="Arial" w:eastAsia="Calibri" w:hAnsi="Arial" w:cs="Arial"/>
        </w:rPr>
        <w:t>art.</w:t>
      </w:r>
      <w:r w:rsidRPr="00C01DA5">
        <w:rPr>
          <w:rFonts w:ascii="Arial" w:eastAsia="Calibri" w:hAnsi="Arial" w:cs="Arial"/>
        </w:rPr>
        <w:t xml:space="preserve"> 2° da RLF como o somatório das receitas tributárias, de contribuições, patrimoniais, industriais, agropecuárias, de serviços, transferências correntes e outras receitas também correntes, deduzidos principalmente, os valores transferidos, por determinação constitucional ou legal, aos Estados e Municípios, no caso da União, e aos Municípios, no caso dos Estados, consideradas ainda as demais deduções previstas na Lei, sua a apuração é feita somando-se todas as receitas correntes arrecadadas no mês em referência e nos onze meses anteriores, deduzidas as transferências constitucionais e legais, as contribuições aos planos de seguridade social e, no caso da União, os valores do PIS/PASEP, adotando-se o regime de caixa.</w:t>
      </w:r>
    </w:p>
    <w:p w:rsidR="00741600" w:rsidRPr="00C01DA5" w:rsidRDefault="00741600" w:rsidP="009E2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</w:rPr>
      </w:pPr>
      <w:r w:rsidRPr="00C01DA5">
        <w:rPr>
          <w:rFonts w:ascii="Arial" w:eastAsia="Calibri" w:hAnsi="Arial" w:cs="Arial"/>
        </w:rPr>
        <w:lastRenderedPageBreak/>
        <w:t xml:space="preserve">Vale salientar ainda que, </w:t>
      </w:r>
      <w:r w:rsidR="00EE0846" w:rsidRPr="00C01DA5">
        <w:rPr>
          <w:rFonts w:ascii="Arial" w:eastAsia="Calibri" w:hAnsi="Arial" w:cs="Arial"/>
        </w:rPr>
        <w:t>no</w:t>
      </w:r>
      <w:r w:rsidRPr="00C01DA5">
        <w:rPr>
          <w:rFonts w:ascii="Arial" w:eastAsia="Calibri" w:hAnsi="Arial" w:cs="Arial"/>
        </w:rPr>
        <w:t xml:space="preserve"> capítulo IX° a LRF trata da transparência da gestão fiscal, através do art. 48° com a seguinte redação “São instrumentos de transparência da gestão fiscal, aos quais será dada ampla divulgação, inclusive em meios eletrônicos de acesso público: os planos, orçamentos e leis de diretrizes orçamentárias; as prestações de contas e o respectivo parecer prévio; o Relatório Resumido da Execução Orçamentária e o Relatório de Gestão Fiscal; e as versões simplificadas desses documentos (BRASIL, LRF, 2000)”. </w:t>
      </w:r>
    </w:p>
    <w:p w:rsidR="009E2E70" w:rsidRDefault="009E2E70" w:rsidP="009E2E70">
      <w:pPr>
        <w:spacing w:line="360" w:lineRule="auto"/>
        <w:rPr>
          <w:rFonts w:ascii="Arial" w:hAnsi="Arial" w:cs="Arial"/>
          <w:b/>
        </w:rPr>
      </w:pPr>
    </w:p>
    <w:p w:rsidR="00D47A31" w:rsidRPr="00D43FAE" w:rsidRDefault="00225C81" w:rsidP="009E2E70">
      <w:pPr>
        <w:spacing w:line="360" w:lineRule="auto"/>
        <w:rPr>
          <w:rFonts w:ascii="Arial" w:hAnsi="Arial" w:cs="Arial"/>
          <w:b/>
        </w:rPr>
      </w:pPr>
      <w:r w:rsidRPr="00D43FAE">
        <w:rPr>
          <w:rFonts w:ascii="Arial" w:hAnsi="Arial" w:cs="Arial"/>
          <w:b/>
        </w:rPr>
        <w:t xml:space="preserve">3 </w:t>
      </w:r>
      <w:r w:rsidR="005742B1" w:rsidRPr="00D43FAE">
        <w:rPr>
          <w:rFonts w:ascii="Arial" w:hAnsi="Arial" w:cs="Arial"/>
          <w:b/>
        </w:rPr>
        <w:t xml:space="preserve">PROCEDIMENTOS </w:t>
      </w:r>
      <w:r w:rsidR="00390056" w:rsidRPr="00D43FAE">
        <w:rPr>
          <w:rFonts w:ascii="Arial" w:hAnsi="Arial" w:cs="Arial"/>
          <w:b/>
        </w:rPr>
        <w:t>METODOLOGICOS</w:t>
      </w:r>
    </w:p>
    <w:p w:rsidR="009E2E70" w:rsidRDefault="00390056" w:rsidP="009E2E70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ab/>
      </w:r>
    </w:p>
    <w:p w:rsidR="00773F40" w:rsidRPr="00C01DA5" w:rsidRDefault="009E2E70" w:rsidP="009E2E70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0056" w:rsidRPr="00C01DA5">
        <w:rPr>
          <w:rFonts w:ascii="Arial" w:hAnsi="Arial" w:cs="Arial"/>
        </w:rPr>
        <w:t xml:space="preserve">Foi utilizado procedimentos qualitativos-quantitativos, através da </w:t>
      </w:r>
      <w:r w:rsidR="006A273F" w:rsidRPr="00C01DA5">
        <w:rPr>
          <w:rFonts w:ascii="Arial" w:hAnsi="Arial" w:cs="Arial"/>
        </w:rPr>
        <w:t>metodologia bibliográfica, em primeiro momento, a</w:t>
      </w:r>
      <w:r w:rsidR="00E665A5" w:rsidRPr="00C01DA5">
        <w:rPr>
          <w:rFonts w:ascii="Arial" w:hAnsi="Arial" w:cs="Arial"/>
        </w:rPr>
        <w:t>través de</w:t>
      </w:r>
      <w:r w:rsidR="006A273F" w:rsidRPr="00C01DA5">
        <w:rPr>
          <w:rFonts w:ascii="Arial" w:hAnsi="Arial" w:cs="Arial"/>
        </w:rPr>
        <w:t xml:space="preserve"> pesquisa em livros, artigos e leis com objetivo de compor um quadro teórico sobre a discussão abordada; num segundo momento, foi utilizada a pesquis</w:t>
      </w:r>
      <w:r w:rsidR="00E665A5" w:rsidRPr="00C01DA5">
        <w:rPr>
          <w:rFonts w:ascii="Arial" w:hAnsi="Arial" w:cs="Arial"/>
        </w:rPr>
        <w:t>a documental com referência do S</w:t>
      </w:r>
      <w:r w:rsidR="006A273F" w:rsidRPr="00C01DA5">
        <w:rPr>
          <w:rFonts w:ascii="Arial" w:hAnsi="Arial" w:cs="Arial"/>
        </w:rPr>
        <w:t>i</w:t>
      </w:r>
      <w:r w:rsidR="00E665A5" w:rsidRPr="00C01DA5">
        <w:rPr>
          <w:rFonts w:ascii="Arial" w:hAnsi="Arial" w:cs="Arial"/>
        </w:rPr>
        <w:t>stema</w:t>
      </w:r>
      <w:r w:rsidR="006A273F" w:rsidRPr="00C01DA5">
        <w:rPr>
          <w:rFonts w:ascii="Arial" w:hAnsi="Arial" w:cs="Arial"/>
        </w:rPr>
        <w:t xml:space="preserve"> de Coleta de Dados Contábeis dos Entes da Federação (SISTN) com objetivos coletar informações de demonstrativos contábeis dos municípios estudados.</w:t>
      </w:r>
    </w:p>
    <w:p w:rsidR="009E2E70" w:rsidRDefault="009E2E70" w:rsidP="009E2E70">
      <w:pPr>
        <w:tabs>
          <w:tab w:val="left" w:pos="851"/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:rsidR="00C91E2D" w:rsidRPr="00C01DA5" w:rsidRDefault="00225C81" w:rsidP="009E2E70">
      <w:pPr>
        <w:tabs>
          <w:tab w:val="left" w:pos="851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3.1 </w:t>
      </w:r>
      <w:r w:rsidR="00C91E2D" w:rsidRPr="00C01DA5">
        <w:rPr>
          <w:rFonts w:ascii="Arial" w:hAnsi="Arial" w:cs="Arial"/>
        </w:rPr>
        <w:t xml:space="preserve">AMOSTRA ANALISADA </w:t>
      </w:r>
    </w:p>
    <w:p w:rsidR="009E2E70" w:rsidRDefault="00AA3101" w:rsidP="009E2E70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ab/>
      </w:r>
    </w:p>
    <w:p w:rsidR="00AA3101" w:rsidRPr="00C01DA5" w:rsidRDefault="009E2E70" w:rsidP="009E2E70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1E2D" w:rsidRPr="00C01DA5">
        <w:rPr>
          <w:rFonts w:ascii="Arial" w:hAnsi="Arial" w:cs="Arial"/>
        </w:rPr>
        <w:t>O critério para seleção da amostra consistiu na aná</w:t>
      </w:r>
      <w:r w:rsidR="00AA3101" w:rsidRPr="00C01DA5">
        <w:rPr>
          <w:rFonts w:ascii="Arial" w:hAnsi="Arial" w:cs="Arial"/>
        </w:rPr>
        <w:t xml:space="preserve">lise das cidades baianas com população maior que 200 mil habitantes, segundo o sendo IBGE (2010), essa escolha se pois os municípios com maior população são, via de regra, os que recebem os maiores montantes de recursos oriundos de Transferências Constitucionais e Legais, da União e do Estado. </w:t>
      </w:r>
    </w:p>
    <w:p w:rsidR="00AA3101" w:rsidRPr="00C01DA5" w:rsidRDefault="00AA3101" w:rsidP="009E2E70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ab/>
        <w:t>Nesse sentido, considerando os dados da Superintendência de Estudos Econômicos e Sociais da Bahia (SEI), os municípios que fazem parte do recorte da pesquisa, tem</w:t>
      </w:r>
      <w:r w:rsidR="005473C0" w:rsidRPr="00C01DA5">
        <w:rPr>
          <w:rFonts w:ascii="Arial" w:hAnsi="Arial" w:cs="Arial"/>
        </w:rPr>
        <w:t xml:space="preserve"> </w:t>
      </w:r>
      <w:r w:rsidRPr="00C01DA5">
        <w:rPr>
          <w:rFonts w:ascii="Arial" w:hAnsi="Arial" w:cs="Arial"/>
        </w:rPr>
        <w:t>Produto Interno Bruto (PIB)</w:t>
      </w:r>
      <w:r w:rsidR="005473C0" w:rsidRPr="00C01DA5">
        <w:rPr>
          <w:rFonts w:ascii="Arial" w:hAnsi="Arial" w:cs="Arial"/>
        </w:rPr>
        <w:t xml:space="preserve"> que</w:t>
      </w:r>
      <w:r w:rsidRPr="00C01DA5">
        <w:rPr>
          <w:rFonts w:ascii="Arial" w:hAnsi="Arial" w:cs="Arial"/>
        </w:rPr>
        <w:t xml:space="preserve"> representam juntos, 41,42% do total do PIB baiano. </w:t>
      </w:r>
    </w:p>
    <w:p w:rsidR="00A0157D" w:rsidRPr="00C01DA5" w:rsidRDefault="005473C0" w:rsidP="00C91E2D">
      <w:pPr>
        <w:tabs>
          <w:tab w:val="left" w:pos="851"/>
        </w:tabs>
        <w:spacing w:after="100" w:afterAutospacing="1" w:line="360" w:lineRule="auto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ab/>
        <w:t>Portanto, a</w:t>
      </w:r>
      <w:r w:rsidR="00C91E2D" w:rsidRPr="00C01DA5">
        <w:rPr>
          <w:rFonts w:ascii="Arial" w:hAnsi="Arial" w:cs="Arial"/>
        </w:rPr>
        <w:t xml:space="preserve"> amostra se restringiu aos </w:t>
      </w:r>
      <w:r w:rsidRPr="00C01DA5">
        <w:rPr>
          <w:rFonts w:ascii="Arial" w:hAnsi="Arial" w:cs="Arial"/>
        </w:rPr>
        <w:t xml:space="preserve">seguintes </w:t>
      </w:r>
      <w:r w:rsidR="00C91E2D" w:rsidRPr="00C01DA5">
        <w:rPr>
          <w:rFonts w:ascii="Arial" w:hAnsi="Arial" w:cs="Arial"/>
        </w:rPr>
        <w:t>m</w:t>
      </w:r>
      <w:r w:rsidR="00A0157D" w:rsidRPr="00C01DA5">
        <w:rPr>
          <w:rFonts w:ascii="Arial" w:hAnsi="Arial" w:cs="Arial"/>
        </w:rPr>
        <w:t>unicípios</w:t>
      </w:r>
      <w:r w:rsidRPr="00C01DA5">
        <w:rPr>
          <w:rFonts w:ascii="Arial" w:hAnsi="Arial" w:cs="Arial"/>
        </w:rPr>
        <w:t xml:space="preserve">: </w:t>
      </w:r>
      <w:r w:rsidR="00A0157D" w:rsidRPr="00C01DA5">
        <w:rPr>
          <w:rFonts w:ascii="Arial" w:hAnsi="Arial" w:cs="Arial"/>
        </w:rPr>
        <w:t>Camaçari (242.970 habitantes), Feira de Santana (556.642 habitantes), Itabuna (204.667 habitantes), Salvador (2.675.656) e Vitória da Conquista (306.866 habitantes).</w:t>
      </w:r>
      <w:r w:rsidR="00F11573" w:rsidRPr="00C01DA5">
        <w:rPr>
          <w:rFonts w:ascii="Arial" w:hAnsi="Arial" w:cs="Arial"/>
        </w:rPr>
        <w:t xml:space="preserve"> </w:t>
      </w:r>
    </w:p>
    <w:p w:rsidR="00EE0846" w:rsidRPr="00C01DA5" w:rsidRDefault="00EE0846" w:rsidP="00C91E2D">
      <w:pPr>
        <w:tabs>
          <w:tab w:val="left" w:pos="851"/>
        </w:tabs>
        <w:spacing w:after="100" w:afterAutospacing="1" w:line="360" w:lineRule="auto"/>
        <w:jc w:val="both"/>
        <w:rPr>
          <w:rFonts w:ascii="Arial" w:hAnsi="Arial" w:cs="Arial"/>
        </w:rPr>
      </w:pPr>
    </w:p>
    <w:p w:rsidR="00F11573" w:rsidRPr="009E2E70" w:rsidRDefault="00225C81" w:rsidP="009E2E70">
      <w:pPr>
        <w:spacing w:line="360" w:lineRule="auto"/>
        <w:rPr>
          <w:rFonts w:ascii="Arial" w:hAnsi="Arial" w:cs="Arial"/>
          <w:b/>
        </w:rPr>
      </w:pPr>
      <w:r w:rsidRPr="009E2E70">
        <w:rPr>
          <w:rFonts w:ascii="Arial" w:hAnsi="Arial" w:cs="Arial"/>
          <w:b/>
        </w:rPr>
        <w:lastRenderedPageBreak/>
        <w:t xml:space="preserve">4 </w:t>
      </w:r>
      <w:r w:rsidR="00E60327" w:rsidRPr="009E2E70">
        <w:rPr>
          <w:rFonts w:ascii="Arial" w:hAnsi="Arial" w:cs="Arial"/>
          <w:b/>
        </w:rPr>
        <w:t>ANALISE E DISCUSSÃO DOS RESULTADOS</w:t>
      </w:r>
    </w:p>
    <w:p w:rsidR="009E2E70" w:rsidRDefault="009E2E70" w:rsidP="009E2E70">
      <w:pPr>
        <w:tabs>
          <w:tab w:val="left" w:pos="851"/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:rsidR="009C6DBD" w:rsidRPr="009E2E70" w:rsidRDefault="00225C81" w:rsidP="009E2E70">
      <w:pPr>
        <w:tabs>
          <w:tab w:val="left" w:pos="851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9E2E70">
        <w:rPr>
          <w:rFonts w:ascii="Arial" w:hAnsi="Arial" w:cs="Arial"/>
        </w:rPr>
        <w:t xml:space="preserve">4.1 </w:t>
      </w:r>
      <w:r w:rsidR="009C6DBD" w:rsidRPr="009E2E70">
        <w:rPr>
          <w:rFonts w:ascii="Arial" w:hAnsi="Arial" w:cs="Arial"/>
        </w:rPr>
        <w:t xml:space="preserve">CARACTERIZAÇÃO DA AMOSTRA </w:t>
      </w:r>
    </w:p>
    <w:p w:rsidR="009E2E70" w:rsidRDefault="009E2E70" w:rsidP="009E2E70">
      <w:pPr>
        <w:tabs>
          <w:tab w:val="left" w:pos="851"/>
          <w:tab w:val="left" w:pos="2835"/>
        </w:tabs>
        <w:spacing w:line="360" w:lineRule="auto"/>
        <w:jc w:val="both"/>
        <w:rPr>
          <w:rFonts w:ascii="Arial" w:hAnsi="Arial" w:cs="Arial"/>
          <w:b/>
        </w:rPr>
      </w:pPr>
    </w:p>
    <w:p w:rsidR="009C6DBD" w:rsidRPr="009E2E70" w:rsidRDefault="009E2E70" w:rsidP="009E2E70">
      <w:pPr>
        <w:tabs>
          <w:tab w:val="left" w:pos="851"/>
          <w:tab w:val="left" w:pos="283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9C6DBD" w:rsidRPr="00C01DA5">
        <w:rPr>
          <w:rFonts w:ascii="Arial" w:hAnsi="Arial" w:cs="Arial"/>
          <w:b/>
        </w:rPr>
        <w:t>Salvador</w:t>
      </w:r>
      <w:r w:rsidR="009C6DBD" w:rsidRPr="00C01DA5">
        <w:rPr>
          <w:rFonts w:ascii="Arial" w:hAnsi="Arial" w:cs="Arial"/>
        </w:rPr>
        <w:t xml:space="preserve">: O município de Salvador é a Capital do Estado da Bahia, pertence ao Território de Identidade Região Metropolitana de Salvador, possui uma área de unidade territorial de 693.276Km², e uma população apurada no Censo IBGE de 2010 de 2.675.656 habitantes, o que leva a uma densidade demográfica de 3.859,44 hab./km², quanto ao gênero sua população demonstrou sensível predominância feminina, com 53,4% enquanto que o gênero masculino representou 46,6% do total (IBGE Cidades, 2014). </w:t>
      </w:r>
    </w:p>
    <w:p w:rsidR="009C6DBD" w:rsidRPr="00C01DA5" w:rsidRDefault="009C6DBD" w:rsidP="009E2E70">
      <w:pPr>
        <w:tabs>
          <w:tab w:val="left" w:pos="851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ab/>
        <w:t>Ainda segundo dados do IBGE, Salvador apresentou em 2011, um PIB per capita a preços correntes de R$ 14.411,73, e um Índice de Desenvolvimento Humano de 0,759. Quanto ao nível de alfabetização dos habitantes, o município apresentou 88,6% da população alfabetizada.</w:t>
      </w:r>
    </w:p>
    <w:p w:rsidR="009C6DBD" w:rsidRPr="00C01DA5" w:rsidRDefault="009C6DBD" w:rsidP="009E2E70">
      <w:pPr>
        <w:tabs>
          <w:tab w:val="left" w:pos="851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C01DA5">
        <w:rPr>
          <w:rFonts w:ascii="Arial" w:hAnsi="Arial" w:cs="Arial"/>
          <w:b/>
        </w:rPr>
        <w:tab/>
        <w:t>Camaçari</w:t>
      </w:r>
      <w:r w:rsidRPr="00C01DA5">
        <w:rPr>
          <w:rFonts w:ascii="Arial" w:hAnsi="Arial" w:cs="Arial"/>
        </w:rPr>
        <w:t>:</w:t>
      </w:r>
      <w:r w:rsidRPr="00C01DA5">
        <w:rPr>
          <w:rStyle w:val="Ttulo1Char"/>
          <w:rFonts w:cs="Arial"/>
          <w:b/>
          <w:bCs w:val="0"/>
          <w:i/>
          <w:iCs/>
          <w:color w:val="545454"/>
          <w:shd w:val="clear" w:color="auto" w:fill="FFFFFF"/>
        </w:rPr>
        <w:t xml:space="preserve"> </w:t>
      </w:r>
      <w:r w:rsidRPr="00C01DA5">
        <w:rPr>
          <w:rStyle w:val="nfase"/>
          <w:rFonts w:ascii="Arial" w:hAnsi="Arial" w:cs="Arial"/>
          <w:bCs/>
          <w:i w:val="0"/>
          <w:iCs w:val="0"/>
          <w:color w:val="000000"/>
          <w:shd w:val="clear" w:color="auto" w:fill="FFFFFF"/>
        </w:rPr>
        <w:t>O município de Camaçari pertence</w:t>
      </w:r>
      <w:r w:rsidRPr="00C01DA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C01DA5">
        <w:rPr>
          <w:rFonts w:ascii="Arial" w:hAnsi="Arial" w:cs="Arial"/>
          <w:color w:val="000000"/>
          <w:shd w:val="clear" w:color="auto" w:fill="FFFFFF"/>
        </w:rPr>
        <w:t>à</w:t>
      </w:r>
      <w:r w:rsidRPr="00C01DA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C01DA5">
        <w:rPr>
          <w:rStyle w:val="nfase"/>
          <w:rFonts w:ascii="Arial" w:hAnsi="Arial" w:cs="Arial"/>
          <w:bCs/>
          <w:i w:val="0"/>
          <w:iCs w:val="0"/>
          <w:color w:val="000000"/>
          <w:shd w:val="clear" w:color="auto" w:fill="FFFFFF"/>
        </w:rPr>
        <w:t>Região Metropolitana</w:t>
      </w:r>
      <w:r w:rsidRPr="00C01DA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C01DA5">
        <w:rPr>
          <w:rFonts w:ascii="Arial" w:hAnsi="Arial" w:cs="Arial"/>
          <w:color w:val="000000"/>
          <w:shd w:val="clear" w:color="auto" w:fill="FFFFFF"/>
        </w:rPr>
        <w:t>de Salvador,</w:t>
      </w:r>
      <w:r w:rsidRPr="00C01DA5">
        <w:rPr>
          <w:rStyle w:val="Ttulo1Char"/>
          <w:rFonts w:cs="Arial"/>
          <w:bCs w:val="0"/>
          <w:iCs/>
          <w:color w:val="000000"/>
          <w:sz w:val="24"/>
          <w:szCs w:val="24"/>
          <w:shd w:val="clear" w:color="auto" w:fill="FFFFFF"/>
        </w:rPr>
        <w:t xml:space="preserve"> Limita-se com os municípios de Lauro de Freitas, Simões Filho, Dias d'Ávila e Mata de São João. Com área de </w:t>
      </w:r>
      <w:r w:rsidRPr="00C01DA5">
        <w:rPr>
          <w:rFonts w:ascii="Arial" w:hAnsi="Arial" w:cs="Arial"/>
        </w:rPr>
        <w:t>unidade territorial</w:t>
      </w:r>
      <w:r w:rsidRPr="00C01DA5">
        <w:rPr>
          <w:rStyle w:val="Ttulo1Char"/>
          <w:rFonts w:cs="Arial"/>
          <w:bCs w:val="0"/>
          <w:iCs/>
          <w:color w:val="000000"/>
          <w:sz w:val="24"/>
          <w:szCs w:val="24"/>
          <w:shd w:val="clear" w:color="auto" w:fill="FFFFFF"/>
        </w:rPr>
        <w:t xml:space="preserve"> de 784,658 km², possuía em 2010 uma população de 242.970 habitantes. Com densidade de </w:t>
      </w:r>
      <w:r w:rsidRPr="00C01DA5">
        <w:rPr>
          <w:rFonts w:ascii="Arial" w:hAnsi="Arial" w:cs="Arial"/>
          <w:color w:val="000000"/>
          <w:shd w:val="clear" w:color="auto" w:fill="F1F1F1"/>
        </w:rPr>
        <w:t>309,65</w:t>
      </w:r>
      <w:r w:rsidRPr="00C01DA5">
        <w:rPr>
          <w:rStyle w:val="Ttulo1Char"/>
          <w:rFonts w:cs="Arial"/>
          <w:bCs w:val="0"/>
          <w:iCs/>
          <w:color w:val="000000"/>
          <w:sz w:val="24"/>
          <w:szCs w:val="24"/>
          <w:shd w:val="clear" w:color="auto" w:fill="FFFFFF"/>
        </w:rPr>
        <w:t xml:space="preserve"> hab./km². Camaçari está a uma altitude de 36 metros, possui clima Tropical. A principal atividade produtiva do Município é a industrial. Quanto ao gênero da sua população ocorrendo uma estabilidade entre os sexos 49,69% masculino e 50,32% feminino, </w:t>
      </w:r>
      <w:r w:rsidRPr="00C01DA5">
        <w:rPr>
          <w:rFonts w:ascii="Arial" w:hAnsi="Arial" w:cs="Arial"/>
        </w:rPr>
        <w:t xml:space="preserve">do total (IBGE Cidades, 2010). Em relação ao nível de alfabetização dos habitantes, o município apresentou 82,58% da população alfabetizada.  </w:t>
      </w:r>
    </w:p>
    <w:p w:rsidR="009C6DBD" w:rsidRPr="00C01DA5" w:rsidRDefault="009C6DBD" w:rsidP="009E2E70">
      <w:pPr>
        <w:tabs>
          <w:tab w:val="left" w:pos="851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>Ainda segundo dados do IBGE, Salvador apresentou em 2011, um PIB per capita a preços correntes de 49.412,60, e um Índice de Desenvolvimento Humano de 0,694 em 2010.</w:t>
      </w:r>
    </w:p>
    <w:p w:rsidR="009C6DBD" w:rsidRPr="00C01DA5" w:rsidRDefault="009C6DBD" w:rsidP="009E2E70">
      <w:pPr>
        <w:tabs>
          <w:tab w:val="left" w:pos="851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C01DA5">
        <w:rPr>
          <w:rFonts w:ascii="Arial" w:hAnsi="Arial" w:cs="Arial"/>
          <w:b/>
        </w:rPr>
        <w:tab/>
        <w:t>Feira de Santana:</w:t>
      </w:r>
      <w:r w:rsidRPr="00C01DA5">
        <w:rPr>
          <w:rFonts w:ascii="Arial" w:hAnsi="Arial" w:cs="Arial"/>
          <w:color w:val="000000"/>
        </w:rPr>
        <w:t xml:space="preserve"> </w:t>
      </w:r>
      <w:r w:rsidRPr="00C01DA5">
        <w:rPr>
          <w:rFonts w:ascii="Arial" w:hAnsi="Arial" w:cs="Arial"/>
          <w:color w:val="000000"/>
          <w:shd w:val="clear" w:color="auto" w:fill="FFFFFF"/>
        </w:rPr>
        <w:t>é um</w:t>
      </w:r>
      <w:r w:rsidRPr="00C01DA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C01DA5">
        <w:rPr>
          <w:rStyle w:val="nfase"/>
          <w:rFonts w:ascii="Arial" w:hAnsi="Arial" w:cs="Arial"/>
          <w:bCs/>
          <w:i w:val="0"/>
          <w:iCs w:val="0"/>
          <w:color w:val="000000"/>
          <w:shd w:val="clear" w:color="auto" w:fill="FFFFFF"/>
        </w:rPr>
        <w:t>município</w:t>
      </w:r>
      <w:r w:rsidRPr="00C01DA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C01DA5">
        <w:rPr>
          <w:rFonts w:ascii="Arial" w:hAnsi="Arial" w:cs="Arial"/>
          <w:color w:val="000000"/>
          <w:shd w:val="clear" w:color="auto" w:fill="FFFFFF"/>
        </w:rPr>
        <w:t>brasileiro do Estado da Bahia situado a 108 quilômetros de sua capital, Salvador,</w:t>
      </w:r>
      <w:r w:rsidRPr="00C01DA5">
        <w:rPr>
          <w:rStyle w:val="nfase"/>
          <w:rFonts w:ascii="Arial" w:hAnsi="Arial" w:cs="Arial"/>
          <w:bCs/>
          <w:i w:val="0"/>
          <w:iCs w:val="0"/>
          <w:color w:val="000000"/>
          <w:shd w:val="clear" w:color="auto" w:fill="FFFFFF"/>
        </w:rPr>
        <w:t xml:space="preserve"> </w:t>
      </w:r>
      <w:r w:rsidRPr="00C01DA5">
        <w:rPr>
          <w:rFonts w:ascii="Arial" w:hAnsi="Arial" w:cs="Arial"/>
          <w:color w:val="000000"/>
          <w:shd w:val="clear" w:color="auto" w:fill="FFFFFF"/>
        </w:rPr>
        <w:t>é a</w:t>
      </w:r>
      <w:r w:rsidRPr="00C01DA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8" w:tooltip="Anexo:Lista de municípios da Bahia por população" w:history="1">
        <w:r w:rsidRPr="00C01DA5">
          <w:rPr>
            <w:rStyle w:val="Hyperlink"/>
            <w:rFonts w:ascii="Arial" w:hAnsi="Arial" w:cs="Arial"/>
            <w:color w:val="000000"/>
            <w:u w:val="none"/>
            <w:shd w:val="clear" w:color="auto" w:fill="FFFFFF"/>
          </w:rPr>
          <w:t>segunda cidade mais populosa do estado</w:t>
        </w:r>
      </w:hyperlink>
      <w:r w:rsidRPr="00C01DA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C01DA5">
        <w:rPr>
          <w:rFonts w:ascii="Arial" w:hAnsi="Arial" w:cs="Arial"/>
          <w:color w:val="000000"/>
          <w:shd w:val="clear" w:color="auto" w:fill="FFFFFF"/>
        </w:rPr>
        <w:t>e maior cidade do</w:t>
      </w:r>
      <w:r w:rsidRPr="00C01DA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9" w:tooltip="Interior do Brasil" w:history="1">
        <w:r w:rsidRPr="00C01DA5">
          <w:rPr>
            <w:rStyle w:val="Hyperlink"/>
            <w:rFonts w:ascii="Arial" w:hAnsi="Arial" w:cs="Arial"/>
            <w:color w:val="000000"/>
            <w:u w:val="none"/>
            <w:shd w:val="clear" w:color="auto" w:fill="FFFFFF"/>
          </w:rPr>
          <w:t>interior nordestino</w:t>
        </w:r>
      </w:hyperlink>
      <w:r w:rsidRPr="00C01DA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C01DA5">
        <w:rPr>
          <w:rFonts w:ascii="Arial" w:hAnsi="Arial" w:cs="Arial"/>
          <w:color w:val="000000"/>
          <w:shd w:val="clear" w:color="auto" w:fill="FFFFFF"/>
        </w:rPr>
        <w:t>em</w:t>
      </w:r>
      <w:r w:rsidRPr="00C01DA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0" w:tooltip="População" w:history="1">
        <w:r w:rsidRPr="00C01DA5">
          <w:rPr>
            <w:rStyle w:val="Hyperlink"/>
            <w:rFonts w:ascii="Arial" w:hAnsi="Arial" w:cs="Arial"/>
            <w:color w:val="000000"/>
            <w:u w:val="none"/>
            <w:shd w:val="clear" w:color="auto" w:fill="FFFFFF"/>
          </w:rPr>
          <w:t>população</w:t>
        </w:r>
      </w:hyperlink>
      <w:r w:rsidRPr="00C01DA5">
        <w:rPr>
          <w:rStyle w:val="apple-converted-space"/>
          <w:rFonts w:ascii="Arial" w:hAnsi="Arial" w:cs="Arial"/>
          <w:bCs/>
          <w:iCs/>
          <w:color w:val="000000"/>
          <w:shd w:val="clear" w:color="auto" w:fill="FFFFFF"/>
        </w:rPr>
        <w:t>.</w:t>
      </w:r>
      <w:r w:rsidRPr="00C01DA5">
        <w:rPr>
          <w:rStyle w:val="Ttulo1Char"/>
          <w:rFonts w:cs="Arial"/>
          <w:bCs w:val="0"/>
          <w:iCs/>
          <w:color w:val="000000"/>
          <w:sz w:val="24"/>
          <w:szCs w:val="24"/>
          <w:shd w:val="clear" w:color="auto" w:fill="FFFFFF"/>
        </w:rPr>
        <w:t xml:space="preserve"> Com área de </w:t>
      </w:r>
      <w:r w:rsidRPr="00C01DA5">
        <w:rPr>
          <w:rFonts w:ascii="Arial" w:hAnsi="Arial" w:cs="Arial"/>
        </w:rPr>
        <w:t>unidade territorial</w:t>
      </w:r>
      <w:r w:rsidRPr="00C01DA5">
        <w:rPr>
          <w:rStyle w:val="Ttulo1Char"/>
          <w:rFonts w:cs="Arial"/>
          <w:bCs w:val="0"/>
          <w:iCs/>
          <w:color w:val="000000"/>
          <w:sz w:val="24"/>
          <w:szCs w:val="24"/>
          <w:shd w:val="clear" w:color="auto" w:fill="FFFFFF"/>
        </w:rPr>
        <w:t xml:space="preserve"> de 1.337,993 </w:t>
      </w:r>
      <w:r w:rsidRPr="00C01DA5">
        <w:rPr>
          <w:rFonts w:ascii="Arial" w:hAnsi="Arial" w:cs="Arial"/>
          <w:color w:val="757F8E"/>
          <w:sz w:val="14"/>
          <w:szCs w:val="14"/>
          <w:shd w:val="clear" w:color="auto" w:fill="F1F1F1"/>
        </w:rPr>
        <w:t xml:space="preserve"> </w:t>
      </w:r>
      <w:r w:rsidRPr="00C01DA5">
        <w:rPr>
          <w:rStyle w:val="Ttulo1Char"/>
          <w:rFonts w:cs="Arial"/>
          <w:bCs w:val="0"/>
          <w:iCs/>
          <w:color w:val="000000"/>
          <w:sz w:val="24"/>
          <w:szCs w:val="24"/>
          <w:shd w:val="clear" w:color="auto" w:fill="FFFFFF"/>
        </w:rPr>
        <w:t xml:space="preserve">km², possuía em 2010 uma população de 556.642 habitantes. Com densidade de 416,04 hab./km². Feira possui um clima tropical semi-árido, </w:t>
      </w:r>
      <w:r w:rsidRPr="00C01DA5">
        <w:rPr>
          <w:rFonts w:ascii="Arial" w:hAnsi="Arial" w:cs="Arial"/>
        </w:rPr>
        <w:t xml:space="preserve">quanto ao gênero sua população demonstrou sensível predominância </w:t>
      </w:r>
      <w:r w:rsidRPr="00C01DA5">
        <w:rPr>
          <w:rFonts w:ascii="Arial" w:hAnsi="Arial" w:cs="Arial"/>
        </w:rPr>
        <w:lastRenderedPageBreak/>
        <w:t xml:space="preserve">feminina, com 52,57% enquanto que o gênero masculino representou 47,43% do total (IBGE Cidades, 2010). Em relação ao nível de alfabetização dos habitantes, o município apresentou 82,81% da população alfabetizada. </w:t>
      </w:r>
    </w:p>
    <w:p w:rsidR="009C6DBD" w:rsidRPr="00C01DA5" w:rsidRDefault="009C6DBD" w:rsidP="009E2E70">
      <w:pPr>
        <w:tabs>
          <w:tab w:val="left" w:pos="851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ab/>
        <w:t>Ainda segundo dados do IBGE, Salvador apresentou em 2011, um PIB per capita a preços correntes de 14.704,55, e um Índice de Desenvolvimento Humano de 0,712 em 2010.</w:t>
      </w:r>
    </w:p>
    <w:p w:rsidR="009C6DBD" w:rsidRPr="00C01DA5" w:rsidRDefault="009C6DBD" w:rsidP="00D1115C">
      <w:pPr>
        <w:tabs>
          <w:tab w:val="left" w:pos="851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C01DA5">
        <w:rPr>
          <w:rFonts w:ascii="Arial" w:hAnsi="Arial" w:cs="Arial"/>
          <w:b/>
        </w:rPr>
        <w:tab/>
      </w:r>
      <w:r w:rsidR="009E2E70" w:rsidRPr="00C01DA5">
        <w:rPr>
          <w:rFonts w:ascii="Arial" w:hAnsi="Arial" w:cs="Arial"/>
          <w:b/>
        </w:rPr>
        <w:t>Itabuna</w:t>
      </w:r>
      <w:r w:rsidRPr="00C01DA5">
        <w:rPr>
          <w:rFonts w:ascii="Arial" w:hAnsi="Arial" w:cs="Arial"/>
          <w:b/>
        </w:rPr>
        <w:t xml:space="preserve">: </w:t>
      </w:r>
      <w:r w:rsidRPr="00C01DA5">
        <w:rPr>
          <w:rFonts w:ascii="Arial" w:hAnsi="Arial" w:cs="Arial"/>
          <w:color w:val="000000"/>
          <w:shd w:val="clear" w:color="auto" w:fill="FFFFFF"/>
        </w:rPr>
        <w:t>É um</w:t>
      </w:r>
      <w:r w:rsidRPr="00C01DA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1" w:tooltip="Municípios do Brasil" w:history="1">
        <w:r w:rsidRPr="00C01DA5">
          <w:rPr>
            <w:rStyle w:val="Hyperlink"/>
            <w:rFonts w:ascii="Arial" w:hAnsi="Arial" w:cs="Arial"/>
            <w:color w:val="000000"/>
            <w:shd w:val="clear" w:color="auto" w:fill="FFFFFF"/>
          </w:rPr>
          <w:t>município</w:t>
        </w:r>
      </w:hyperlink>
      <w:r w:rsidRPr="00C01DA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C01DA5">
        <w:rPr>
          <w:rFonts w:ascii="Arial" w:hAnsi="Arial" w:cs="Arial"/>
          <w:color w:val="000000"/>
          <w:shd w:val="clear" w:color="auto" w:fill="FFFFFF"/>
        </w:rPr>
        <w:t>do sul do</w:t>
      </w:r>
      <w:r w:rsidRPr="00C01DA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2" w:tooltip="Unidades federativas do Brasil" w:history="1">
        <w:r w:rsidRPr="00C01DA5">
          <w:rPr>
            <w:rStyle w:val="Hyperlink"/>
            <w:rFonts w:ascii="Arial" w:hAnsi="Arial" w:cs="Arial"/>
            <w:color w:val="000000"/>
            <w:shd w:val="clear" w:color="auto" w:fill="FFFFFF"/>
          </w:rPr>
          <w:t>estado</w:t>
        </w:r>
      </w:hyperlink>
      <w:r w:rsidRPr="00C01DA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C01DA5">
        <w:rPr>
          <w:rFonts w:ascii="Arial" w:hAnsi="Arial" w:cs="Arial"/>
          <w:color w:val="000000"/>
          <w:shd w:val="clear" w:color="auto" w:fill="FFFFFF"/>
        </w:rPr>
        <w:t>da</w:t>
      </w:r>
      <w:r w:rsidRPr="00C01DA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13" w:tooltip="Bahia" w:history="1">
        <w:r w:rsidRPr="00C01DA5">
          <w:rPr>
            <w:rStyle w:val="Hyperlink"/>
            <w:rFonts w:ascii="Arial" w:hAnsi="Arial" w:cs="Arial"/>
            <w:color w:val="000000"/>
            <w:shd w:val="clear" w:color="auto" w:fill="FFFFFF"/>
          </w:rPr>
          <w:t>Bahia</w:t>
        </w:r>
      </w:hyperlink>
      <w:r w:rsidRPr="00C01DA5">
        <w:rPr>
          <w:rFonts w:ascii="Arial" w:hAnsi="Arial" w:cs="Arial"/>
          <w:color w:val="000000"/>
          <w:shd w:val="clear" w:color="auto" w:fill="FFFFFF"/>
        </w:rPr>
        <w:t>, Está localizada a cerca de 426 quilômetros da capital,</w:t>
      </w:r>
      <w:r w:rsidRPr="00C01DA5">
        <w:rPr>
          <w:rStyle w:val="apple-converted-space"/>
          <w:rFonts w:ascii="Arial" w:hAnsi="Arial" w:cs="Arial"/>
          <w:color w:val="000000"/>
          <w:shd w:val="clear" w:color="auto" w:fill="FFFFFF"/>
        </w:rPr>
        <w:t> é</w:t>
      </w:r>
      <w:r w:rsidRPr="00C01DA5">
        <w:rPr>
          <w:rFonts w:ascii="Arial" w:hAnsi="Arial" w:cs="Arial"/>
          <w:color w:val="000000"/>
          <w:shd w:val="clear" w:color="auto" w:fill="FFFFFF"/>
        </w:rPr>
        <w:t xml:space="preserve"> a quinta cidade mais populosa da Bahia. </w:t>
      </w:r>
      <w:r w:rsidRPr="00C01DA5">
        <w:rPr>
          <w:rStyle w:val="Ttulo1Char"/>
          <w:rFonts w:cs="Arial"/>
          <w:bCs w:val="0"/>
          <w:iCs/>
          <w:color w:val="000000"/>
          <w:sz w:val="24"/>
          <w:szCs w:val="24"/>
          <w:shd w:val="clear" w:color="auto" w:fill="FFFFFF"/>
        </w:rPr>
        <w:t xml:space="preserve">Com área de </w:t>
      </w:r>
      <w:r w:rsidRPr="00C01DA5">
        <w:rPr>
          <w:rFonts w:ascii="Arial" w:hAnsi="Arial" w:cs="Arial"/>
        </w:rPr>
        <w:t>unidade territorial</w:t>
      </w:r>
      <w:r w:rsidRPr="00C01DA5">
        <w:rPr>
          <w:rStyle w:val="Ttulo1Char"/>
          <w:rFonts w:cs="Arial"/>
          <w:bCs w:val="0"/>
          <w:iCs/>
          <w:color w:val="000000"/>
          <w:sz w:val="24"/>
          <w:szCs w:val="24"/>
          <w:shd w:val="clear" w:color="auto" w:fill="FFFFFF"/>
        </w:rPr>
        <w:t xml:space="preserve"> de 432,24 km², possuía em 2010 uma população de 204.667 habitantes. Com densidade de 473,50</w:t>
      </w:r>
      <w:r w:rsidRPr="00C01DA5">
        <w:rPr>
          <w:rFonts w:ascii="Arial" w:hAnsi="Arial" w:cs="Arial"/>
          <w:color w:val="000000"/>
          <w:shd w:val="clear" w:color="auto" w:fill="F1F1F1"/>
        </w:rPr>
        <w:t xml:space="preserve"> </w:t>
      </w:r>
      <w:r w:rsidRPr="00C01DA5">
        <w:rPr>
          <w:rStyle w:val="Ttulo1Char"/>
          <w:rFonts w:cs="Arial"/>
          <w:bCs w:val="0"/>
          <w:iCs/>
          <w:color w:val="000000"/>
          <w:sz w:val="24"/>
          <w:szCs w:val="24"/>
          <w:shd w:val="clear" w:color="auto" w:fill="FFFFFF"/>
        </w:rPr>
        <w:t>hab./km². Itabuna possui um clima tropical úmido</w:t>
      </w:r>
      <w:r w:rsidRPr="00C01DA5">
        <w:rPr>
          <w:rFonts w:ascii="Arial" w:hAnsi="Arial" w:cs="Arial"/>
          <w:color w:val="545454"/>
          <w:shd w:val="clear" w:color="auto" w:fill="FFFFFF"/>
        </w:rPr>
        <w:t>,</w:t>
      </w:r>
      <w:r w:rsidRPr="00C01DA5">
        <w:rPr>
          <w:rFonts w:ascii="Arial" w:hAnsi="Arial" w:cs="Arial"/>
        </w:rPr>
        <w:t xml:space="preserve"> quanto ao gênero sua população demonstrou sensível predominância feminina, com 52,64% enquanto que o gênero masculino representou 47,36% do total (IBGE Cidades, 2010). Em relação ao nível de alfabetização dos habitantes, o município apresentou 81,87% da população alfabetizada. </w:t>
      </w:r>
    </w:p>
    <w:p w:rsidR="009C6DBD" w:rsidRPr="00C01DA5" w:rsidRDefault="009C6DBD" w:rsidP="00D1115C">
      <w:pPr>
        <w:tabs>
          <w:tab w:val="left" w:pos="851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ab/>
        <w:t>Ainda segundo dados do IBGE, Salvador apresentou em 2011, um PIB per capita a preços correntes de 14.464,83, e um Índice de Desenvolvimento Humano de 0,712 em 2010.</w:t>
      </w:r>
    </w:p>
    <w:p w:rsidR="009C6DBD" w:rsidRPr="00C01DA5" w:rsidRDefault="009C6DBD" w:rsidP="00D1115C">
      <w:pPr>
        <w:tabs>
          <w:tab w:val="left" w:pos="851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C01DA5">
        <w:rPr>
          <w:rFonts w:ascii="Arial" w:hAnsi="Arial" w:cs="Arial"/>
          <w:b/>
          <w:color w:val="000000"/>
        </w:rPr>
        <w:tab/>
        <w:t xml:space="preserve">Vitoria da Conquista: </w:t>
      </w:r>
      <w:r w:rsidRPr="00C01DA5">
        <w:rPr>
          <w:rFonts w:ascii="Arial" w:hAnsi="Arial" w:cs="Arial"/>
          <w:color w:val="000000"/>
        </w:rPr>
        <w:t>É</w:t>
      </w:r>
      <w:r w:rsidRPr="00C01DA5">
        <w:rPr>
          <w:rStyle w:val="nfase"/>
          <w:rFonts w:ascii="Arial" w:hAnsi="Arial" w:cs="Arial"/>
          <w:bCs/>
          <w:i w:val="0"/>
          <w:iCs w:val="0"/>
          <w:color w:val="000000"/>
          <w:shd w:val="clear" w:color="auto" w:fill="FFFFFF"/>
        </w:rPr>
        <w:t xml:space="preserve"> um município brasileiro do estado da Bahia</w:t>
      </w:r>
      <w:r w:rsidRPr="00C01DA5">
        <w:rPr>
          <w:rFonts w:ascii="Arial" w:hAnsi="Arial" w:cs="Arial"/>
          <w:color w:val="000000"/>
          <w:shd w:val="clear" w:color="auto" w:fill="FFFFFF"/>
        </w:rPr>
        <w:t>,</w:t>
      </w:r>
      <w:r w:rsidRPr="00C01DA5">
        <w:rPr>
          <w:rStyle w:val="Ttulo1Char"/>
          <w:rFonts w:cs="Arial"/>
          <w:bCs w:val="0"/>
          <w:iCs/>
          <w:color w:val="000000"/>
          <w:sz w:val="24"/>
          <w:szCs w:val="24"/>
          <w:shd w:val="clear" w:color="auto" w:fill="FFFFFF"/>
        </w:rPr>
        <w:t xml:space="preserve"> Com área de </w:t>
      </w:r>
      <w:r w:rsidRPr="00C01DA5">
        <w:rPr>
          <w:rFonts w:ascii="Arial" w:hAnsi="Arial" w:cs="Arial"/>
        </w:rPr>
        <w:t>unidade territorial</w:t>
      </w:r>
      <w:r w:rsidRPr="00C01DA5">
        <w:rPr>
          <w:rStyle w:val="Ttulo1Char"/>
          <w:rFonts w:cs="Arial"/>
          <w:bCs w:val="0"/>
          <w:iCs/>
          <w:color w:val="000000"/>
          <w:sz w:val="24"/>
          <w:szCs w:val="24"/>
          <w:shd w:val="clear" w:color="auto" w:fill="FFFFFF"/>
        </w:rPr>
        <w:t xml:space="preserve"> de 3.356.886 km², possuía em 2010 uma população de 306.866 habitantes, e densidade de 91,41 hab./km². Vitoria da Conquista possui clima Tropical.</w:t>
      </w:r>
      <w:r w:rsidRPr="00C01DA5">
        <w:rPr>
          <w:rFonts w:ascii="Arial" w:hAnsi="Arial" w:cs="Arial"/>
        </w:rPr>
        <w:t xml:space="preserve"> Quanto ao gênero sua população demonstrou sensível predominância feminina, com 52,14% enquanto que o gênero masculino representou 48.33% do total (IBGE Cidades, 2010). Em relação ao nível de alfabetização dos habitantes, o município apresentou 78.81% da população alfabetizada.</w:t>
      </w:r>
    </w:p>
    <w:p w:rsidR="009C6DBD" w:rsidRPr="00C01DA5" w:rsidRDefault="009C6DBD" w:rsidP="00D1115C">
      <w:pPr>
        <w:tabs>
          <w:tab w:val="left" w:pos="851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ab/>
        <w:t>Ainda segundo dados do IBGE, Salvador apresentou em 2011, um PIB per capita a preços correntes de 12.370,65, e um Índice de Desenvolvimento Humano de 0,678 em 2010.</w:t>
      </w:r>
    </w:p>
    <w:p w:rsidR="00D1115C" w:rsidRDefault="00D1115C" w:rsidP="00D1115C">
      <w:pPr>
        <w:tabs>
          <w:tab w:val="left" w:pos="851"/>
          <w:tab w:val="left" w:pos="2835"/>
        </w:tabs>
        <w:spacing w:line="360" w:lineRule="auto"/>
        <w:rPr>
          <w:rFonts w:ascii="Arial" w:hAnsi="Arial" w:cs="Arial"/>
          <w:color w:val="000000"/>
        </w:rPr>
      </w:pPr>
    </w:p>
    <w:p w:rsidR="009C6DBD" w:rsidRPr="00D1115C" w:rsidRDefault="00225C81" w:rsidP="00D1115C">
      <w:pPr>
        <w:tabs>
          <w:tab w:val="left" w:pos="851"/>
          <w:tab w:val="left" w:pos="2835"/>
        </w:tabs>
        <w:spacing w:line="360" w:lineRule="auto"/>
        <w:rPr>
          <w:rFonts w:ascii="Arial" w:hAnsi="Arial" w:cs="Arial"/>
          <w:color w:val="000000"/>
        </w:rPr>
      </w:pPr>
      <w:r w:rsidRPr="00D1115C">
        <w:rPr>
          <w:rFonts w:ascii="Arial" w:hAnsi="Arial" w:cs="Arial"/>
          <w:color w:val="000000"/>
        </w:rPr>
        <w:t xml:space="preserve">4.2 </w:t>
      </w:r>
      <w:r w:rsidR="009C6DBD" w:rsidRPr="00D1115C">
        <w:rPr>
          <w:rFonts w:ascii="Arial" w:hAnsi="Arial" w:cs="Arial"/>
          <w:color w:val="000000"/>
        </w:rPr>
        <w:t>DISCUSSÃO DOS RESULTADOS</w:t>
      </w:r>
    </w:p>
    <w:p w:rsidR="00D1115C" w:rsidRDefault="00D1115C" w:rsidP="00D1115C">
      <w:pPr>
        <w:autoSpaceDE w:val="0"/>
        <w:autoSpaceDN w:val="0"/>
        <w:adjustRightInd w:val="0"/>
        <w:spacing w:line="360" w:lineRule="auto"/>
        <w:ind w:firstLine="850"/>
        <w:jc w:val="both"/>
        <w:rPr>
          <w:rFonts w:ascii="Arial" w:eastAsia="Calibri" w:hAnsi="Arial" w:cs="Arial"/>
        </w:rPr>
      </w:pPr>
    </w:p>
    <w:p w:rsidR="00981E76" w:rsidRPr="00C01DA5" w:rsidRDefault="00981E76" w:rsidP="00D1115C">
      <w:pPr>
        <w:autoSpaceDE w:val="0"/>
        <w:autoSpaceDN w:val="0"/>
        <w:adjustRightInd w:val="0"/>
        <w:spacing w:line="360" w:lineRule="auto"/>
        <w:ind w:firstLine="850"/>
        <w:jc w:val="both"/>
        <w:rPr>
          <w:rFonts w:ascii="Arial" w:eastAsia="Calibri" w:hAnsi="Arial" w:cs="Arial"/>
        </w:rPr>
      </w:pPr>
      <w:r w:rsidRPr="00C01DA5">
        <w:rPr>
          <w:rFonts w:ascii="Arial" w:eastAsia="Calibri" w:hAnsi="Arial" w:cs="Arial"/>
        </w:rPr>
        <w:t xml:space="preserve">A análise de informações contábeis e financeiras tem seu desenvolvimento com base nos dados do balanço patrimonial e de outros demonstrativos contábeis exigidos pela LRF, tais como: Relatório Resumido de Execução Orçamentária </w:t>
      </w:r>
      <w:r w:rsidRPr="00C01DA5">
        <w:rPr>
          <w:rFonts w:ascii="Arial" w:eastAsia="Calibri" w:hAnsi="Arial" w:cs="Arial"/>
        </w:rPr>
        <w:lastRenderedPageBreak/>
        <w:t>(RREO) e Relatório de Gestão Fiscal (RGF) sendo que, entre seus principais usuários estão os administradores, instituições financeiras, fornecedores, e órgãos do poder legislativo de controle externo, sendo que cada grupo enfoca a análise de acordo com cada necessidade (HOJI, 2010).</w:t>
      </w:r>
    </w:p>
    <w:p w:rsidR="00981E76" w:rsidRPr="00C01DA5" w:rsidRDefault="00981E76" w:rsidP="00981E76">
      <w:pPr>
        <w:autoSpaceDE w:val="0"/>
        <w:autoSpaceDN w:val="0"/>
        <w:adjustRightInd w:val="0"/>
        <w:spacing w:line="360" w:lineRule="auto"/>
        <w:ind w:firstLine="850"/>
        <w:jc w:val="both"/>
        <w:rPr>
          <w:rFonts w:ascii="Arial" w:eastAsia="Calibri" w:hAnsi="Arial" w:cs="Arial"/>
        </w:rPr>
      </w:pPr>
      <w:r w:rsidRPr="00C01DA5">
        <w:rPr>
          <w:rFonts w:ascii="Arial" w:eastAsia="Calibri" w:hAnsi="Arial" w:cs="Arial"/>
        </w:rPr>
        <w:t>Nesse sentido, Conforme a explicação de Ferrari (2009), essas demonstrações contábeis, constituem quadros técnicos, que tem por finalidade a exposição clara, sistematizada e objetiva da situação patrimonial, econômica e financeira de uma empresa, e como estamos tratando de entes da administração pública, essas demonstrações são previstas em Lei, conforme o princípio da legalidade.</w:t>
      </w:r>
    </w:p>
    <w:p w:rsidR="004E6185" w:rsidRPr="00C01DA5" w:rsidRDefault="004E6185" w:rsidP="00981E76">
      <w:pPr>
        <w:autoSpaceDE w:val="0"/>
        <w:autoSpaceDN w:val="0"/>
        <w:adjustRightInd w:val="0"/>
        <w:spacing w:line="360" w:lineRule="auto"/>
        <w:ind w:firstLine="850"/>
        <w:jc w:val="both"/>
        <w:rPr>
          <w:rFonts w:ascii="Arial" w:eastAsia="Calibri" w:hAnsi="Arial" w:cs="Arial"/>
        </w:rPr>
      </w:pPr>
      <w:r w:rsidRPr="00C01DA5">
        <w:rPr>
          <w:rFonts w:ascii="Arial" w:eastAsia="Calibri" w:hAnsi="Arial" w:cs="Arial"/>
        </w:rPr>
        <w:t xml:space="preserve">Portanto, através das demonstrações contábeis citadas acima </w:t>
      </w:r>
      <w:r w:rsidR="00EE0846" w:rsidRPr="00C01DA5">
        <w:rPr>
          <w:rFonts w:ascii="Arial" w:eastAsia="Calibri" w:hAnsi="Arial" w:cs="Arial"/>
        </w:rPr>
        <w:t>apresenta-se</w:t>
      </w:r>
      <w:r w:rsidRPr="00C01DA5">
        <w:rPr>
          <w:rFonts w:ascii="Arial" w:eastAsia="Calibri" w:hAnsi="Arial" w:cs="Arial"/>
        </w:rPr>
        <w:t xml:space="preserve"> os índices expostos </w:t>
      </w:r>
      <w:r w:rsidR="00865F61" w:rsidRPr="00C01DA5">
        <w:rPr>
          <w:rFonts w:ascii="Arial" w:eastAsia="Calibri" w:hAnsi="Arial" w:cs="Arial"/>
        </w:rPr>
        <w:t>nos gráficos e tabelas I.</w:t>
      </w:r>
    </w:p>
    <w:p w:rsidR="00BD36C6" w:rsidRPr="00C01DA5" w:rsidRDefault="00BD36C6" w:rsidP="00981E76">
      <w:pPr>
        <w:autoSpaceDE w:val="0"/>
        <w:autoSpaceDN w:val="0"/>
        <w:adjustRightInd w:val="0"/>
        <w:spacing w:line="360" w:lineRule="auto"/>
        <w:ind w:firstLine="850"/>
        <w:jc w:val="both"/>
        <w:rPr>
          <w:rFonts w:ascii="Arial" w:eastAsia="Calibri" w:hAnsi="Arial" w:cs="Arial"/>
        </w:rPr>
      </w:pPr>
    </w:p>
    <w:p w:rsidR="00981E76" w:rsidRPr="00D1115C" w:rsidRDefault="004E6185" w:rsidP="00225C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115C">
        <w:rPr>
          <w:rFonts w:ascii="Arial" w:eastAsia="Calibri" w:hAnsi="Arial" w:cs="Arial"/>
          <w:b/>
          <w:sz w:val="20"/>
          <w:szCs w:val="20"/>
        </w:rPr>
        <w:t>GRÁFICO I</w:t>
      </w:r>
      <w:r w:rsidRPr="00D1115C">
        <w:rPr>
          <w:rFonts w:ascii="Arial" w:eastAsia="Calibri" w:hAnsi="Arial" w:cs="Arial"/>
          <w:sz w:val="20"/>
          <w:szCs w:val="20"/>
        </w:rPr>
        <w:t>: Variação comportamental da Dívid</w:t>
      </w:r>
      <w:r w:rsidR="00225C81" w:rsidRPr="00D1115C">
        <w:rPr>
          <w:rFonts w:ascii="Arial" w:eastAsia="Calibri" w:hAnsi="Arial" w:cs="Arial"/>
          <w:sz w:val="20"/>
          <w:szCs w:val="20"/>
        </w:rPr>
        <w:t>a Consolidada Líquida, Salvador, 2014</w:t>
      </w:r>
    </w:p>
    <w:p w:rsidR="003867D9" w:rsidRPr="00C01DA5" w:rsidRDefault="00366D95" w:rsidP="003867D9">
      <w:pPr>
        <w:spacing w:after="100" w:afterAutospacing="1"/>
        <w:jc w:val="both"/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  <w:noProof/>
        </w:rPr>
        <w:drawing>
          <wp:inline distT="0" distB="0" distL="0" distR="0">
            <wp:extent cx="5759960" cy="2548880"/>
            <wp:effectExtent l="6095" t="6101" r="6095" b="7244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3867D9" w:rsidRPr="00C01DA5">
        <w:rPr>
          <w:rFonts w:ascii="Arial" w:hAnsi="Arial" w:cs="Arial"/>
          <w:sz w:val="20"/>
          <w:szCs w:val="20"/>
        </w:rPr>
        <w:t xml:space="preserve"> </w:t>
      </w:r>
      <w:r w:rsidR="003867D9" w:rsidRPr="00D1115C">
        <w:rPr>
          <w:rFonts w:ascii="Arial" w:hAnsi="Arial" w:cs="Arial"/>
          <w:b/>
          <w:sz w:val="20"/>
          <w:szCs w:val="20"/>
        </w:rPr>
        <w:t>Fonte</w:t>
      </w:r>
      <w:r w:rsidR="003867D9" w:rsidRPr="00C01DA5">
        <w:rPr>
          <w:rFonts w:ascii="Arial" w:hAnsi="Arial" w:cs="Arial"/>
          <w:sz w:val="20"/>
          <w:szCs w:val="20"/>
        </w:rPr>
        <w:t>: Elaborado pelos autores</w:t>
      </w:r>
      <w:r w:rsidR="00225C81" w:rsidRPr="00C01DA5">
        <w:rPr>
          <w:rFonts w:ascii="Arial" w:hAnsi="Arial" w:cs="Arial"/>
          <w:sz w:val="20"/>
          <w:szCs w:val="20"/>
        </w:rPr>
        <w:t>, 2014.</w:t>
      </w:r>
    </w:p>
    <w:p w:rsidR="004E6185" w:rsidRPr="00C01DA5" w:rsidRDefault="004E6185" w:rsidP="00C8350E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O gráfico acima, demonstra a variação da Dívida Consolidada Líquida </w:t>
      </w:r>
      <w:r w:rsidR="006C3A64" w:rsidRPr="00C01DA5">
        <w:rPr>
          <w:rFonts w:ascii="Arial" w:hAnsi="Arial" w:cs="Arial"/>
        </w:rPr>
        <w:t xml:space="preserve">(DCL) </w:t>
      </w:r>
      <w:r w:rsidRPr="00C01DA5">
        <w:rPr>
          <w:rFonts w:ascii="Arial" w:hAnsi="Arial" w:cs="Arial"/>
        </w:rPr>
        <w:t>em valores absolutos do município de Salvador, no período de 2000 à 2013. Em primeiro momento nos chama atenção uma redução no do índice em cerca de 23% nos 3 primeiros anos após a vigência da Lei de Responsabilidade Fiscal, período de 2000 a 2003</w:t>
      </w:r>
      <w:r w:rsidR="006C3A64" w:rsidRPr="00C01DA5">
        <w:rPr>
          <w:rFonts w:ascii="Arial" w:hAnsi="Arial" w:cs="Arial"/>
        </w:rPr>
        <w:t>. Em seguida, no exercício financeiro de 2004, a DCL cresce 21% chegando próximo ao patamar pré LRF.</w:t>
      </w:r>
    </w:p>
    <w:p w:rsidR="006C3A64" w:rsidRPr="00C01DA5" w:rsidRDefault="00EE0846" w:rsidP="00C8350E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>Nos anos seguintes, verifica-se</w:t>
      </w:r>
      <w:r w:rsidR="006C3A64" w:rsidRPr="00C01DA5">
        <w:rPr>
          <w:rFonts w:ascii="Arial" w:hAnsi="Arial" w:cs="Arial"/>
        </w:rPr>
        <w:t xml:space="preserve"> uma tendência em estabilização da dívida, reduzindo-se a razão DCL/RCL de 2005 à 2008 (gráfico 2), até que em 2010 o valor da DCL cresce 31% e chega ao maior valor absoluto desde 2000, e nos anos </w:t>
      </w:r>
      <w:r w:rsidR="006C3A64" w:rsidRPr="00C01DA5">
        <w:rPr>
          <w:rFonts w:ascii="Arial" w:hAnsi="Arial" w:cs="Arial"/>
        </w:rPr>
        <w:lastRenderedPageBreak/>
        <w:t>seguintes v</w:t>
      </w:r>
      <w:r w:rsidRPr="00C01DA5">
        <w:rPr>
          <w:rFonts w:ascii="Arial" w:hAnsi="Arial" w:cs="Arial"/>
        </w:rPr>
        <w:t>erifica-se</w:t>
      </w:r>
      <w:r w:rsidR="006C3A64" w:rsidRPr="00C01DA5">
        <w:rPr>
          <w:rFonts w:ascii="Arial" w:hAnsi="Arial" w:cs="Arial"/>
        </w:rPr>
        <w:t xml:space="preserve"> a manutenção desses valores até uma drástica reduç</w:t>
      </w:r>
      <w:r w:rsidR="00840A43" w:rsidRPr="00C01DA5">
        <w:rPr>
          <w:rFonts w:ascii="Arial" w:hAnsi="Arial" w:cs="Arial"/>
        </w:rPr>
        <w:t>ão em 2013 (37%) alcançando o menor valor absoluto desde do ano de 2000.</w:t>
      </w:r>
    </w:p>
    <w:p w:rsidR="00840A43" w:rsidRPr="00C01DA5" w:rsidRDefault="00840A43" w:rsidP="00C8350E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>Vale ressaltar a importância da análise do gráfico I combinada com o gráfico II a seguir, que traz a Razão entre DCL e RCL.</w:t>
      </w:r>
    </w:p>
    <w:p w:rsidR="00C8350E" w:rsidRDefault="00C8350E" w:rsidP="00225C81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:rsidR="00840A43" w:rsidRPr="00C8350E" w:rsidRDefault="00840A43" w:rsidP="00225C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8350E">
        <w:rPr>
          <w:rFonts w:ascii="Arial" w:eastAsia="Calibri" w:hAnsi="Arial" w:cs="Arial"/>
          <w:b/>
          <w:sz w:val="20"/>
          <w:szCs w:val="20"/>
        </w:rPr>
        <w:t>GRÁFICO II</w:t>
      </w:r>
      <w:r w:rsidRPr="00C8350E">
        <w:rPr>
          <w:rFonts w:ascii="Arial" w:eastAsia="Calibri" w:hAnsi="Arial" w:cs="Arial"/>
          <w:sz w:val="20"/>
          <w:szCs w:val="20"/>
        </w:rPr>
        <w:t>: Razão entre Dívida Consolidada Líquida e Receita Corrente Líquida, Salvador-BA, 2014.</w:t>
      </w:r>
    </w:p>
    <w:p w:rsidR="00FD4EAE" w:rsidRPr="00C01DA5" w:rsidRDefault="00366D95" w:rsidP="00EB06B3">
      <w:pPr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  <w:noProof/>
        </w:rPr>
        <w:drawing>
          <wp:inline distT="0" distB="0" distL="0" distR="0">
            <wp:extent cx="5759960" cy="2289933"/>
            <wp:effectExtent l="6095" t="6098" r="6095" b="9019"/>
            <wp:docPr id="2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06322A" w:rsidRPr="00C01DA5">
        <w:rPr>
          <w:rFonts w:ascii="Arial" w:hAnsi="Arial" w:cs="Arial"/>
          <w:sz w:val="20"/>
          <w:szCs w:val="20"/>
        </w:rPr>
        <w:t xml:space="preserve"> </w:t>
      </w:r>
      <w:r w:rsidR="00FD4EAE" w:rsidRPr="00C8350E">
        <w:rPr>
          <w:rFonts w:ascii="Arial" w:hAnsi="Arial" w:cs="Arial"/>
          <w:b/>
          <w:sz w:val="20"/>
          <w:szCs w:val="20"/>
        </w:rPr>
        <w:t>Fonte</w:t>
      </w:r>
      <w:r w:rsidR="00FD4EAE" w:rsidRPr="00C01DA5">
        <w:rPr>
          <w:rFonts w:ascii="Arial" w:hAnsi="Arial" w:cs="Arial"/>
          <w:sz w:val="20"/>
          <w:szCs w:val="20"/>
        </w:rPr>
        <w:t>: Elaborado pelos autores</w:t>
      </w:r>
      <w:r w:rsidR="00225C81" w:rsidRPr="00C01DA5">
        <w:rPr>
          <w:rFonts w:ascii="Arial" w:hAnsi="Arial" w:cs="Arial"/>
          <w:sz w:val="20"/>
          <w:szCs w:val="20"/>
        </w:rPr>
        <w:t>, 2014</w:t>
      </w:r>
    </w:p>
    <w:p w:rsidR="00840A43" w:rsidRPr="00C01DA5" w:rsidRDefault="00840A43" w:rsidP="00722B0E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>O Gráfico II nos permite uma ampliação da ótica comportamental da Dívida Consolidada Líquida em relação com a Receita Corrente Líquida do período. Tal índice apresenta-se relevante, pois ele demonstra a capacidade dos Entes públicos de honrar as dívidas, com Receitas Correntes. Além de demonstrar se o índice está dentro dos limites impostos pela LRF, já abordados, que no caso dos municípios não deverá exceder 120% da RCL.</w:t>
      </w:r>
    </w:p>
    <w:p w:rsidR="00840A43" w:rsidRPr="00C01DA5" w:rsidRDefault="00B84093" w:rsidP="00722B0E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>Desta forma, perc</w:t>
      </w:r>
      <w:r w:rsidR="00EE0846" w:rsidRPr="00C01DA5">
        <w:rPr>
          <w:rFonts w:ascii="Arial" w:hAnsi="Arial" w:cs="Arial"/>
        </w:rPr>
        <w:t>ebe-se</w:t>
      </w:r>
      <w:r w:rsidR="009305D6" w:rsidRPr="00C01DA5">
        <w:rPr>
          <w:rFonts w:ascii="Arial" w:hAnsi="Arial" w:cs="Arial"/>
        </w:rPr>
        <w:t xml:space="preserve"> que Salvador, desde 2005 já encontrava-se com seus índices de endividamento dentro dos limites legais e a partir desse período é possível identificar uma gradativa redução até o valor de 46,24% em 2008. Também chama atenção que no ano de 2010 apesar de o município apresentar a maior DCL do período, seu índice DCL/RCL não é o maior, visto que a RCL também cresceu e isso aumenta a capacidade de pagamento do município e influencia diretamente na razão DCL/RCL.</w:t>
      </w:r>
    </w:p>
    <w:p w:rsidR="009305D6" w:rsidRPr="00C01DA5" w:rsidRDefault="009305D6" w:rsidP="00722B0E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Vale destacar a </w:t>
      </w:r>
      <w:r w:rsidR="004B024B" w:rsidRPr="00C01DA5">
        <w:rPr>
          <w:rFonts w:ascii="Arial" w:hAnsi="Arial" w:cs="Arial"/>
        </w:rPr>
        <w:t>política de austeridade fiscal adotada na</w:t>
      </w:r>
      <w:r w:rsidRPr="00C01DA5">
        <w:rPr>
          <w:rFonts w:ascii="Arial" w:hAnsi="Arial" w:cs="Arial"/>
        </w:rPr>
        <w:t xml:space="preserve"> gestão municipal no ano de 2013, onde houve ao mesmo tempo um elevação significativa da Receita Corrente Líquida e uma redução da Dívida Consolidada Líquida, o que significou o menor índice DCL/RCL apurado no período, de 28,25%</w:t>
      </w:r>
      <w:r w:rsidR="004B024B" w:rsidRPr="00C01DA5">
        <w:rPr>
          <w:rFonts w:ascii="Arial" w:hAnsi="Arial" w:cs="Arial"/>
        </w:rPr>
        <w:t xml:space="preserve">, o que acaba sendo um </w:t>
      </w:r>
      <w:r w:rsidR="004B024B" w:rsidRPr="00C01DA5">
        <w:rPr>
          <w:rFonts w:ascii="Arial" w:hAnsi="Arial" w:cs="Arial"/>
        </w:rPr>
        <w:lastRenderedPageBreak/>
        <w:t>número positivo, principalmente com uma cidade de porte parecido como Belo Horizonte, que apresentou um índice DCL/RCL de 41,78% em 2013, segundo dados do seu RGF disponíveis do SISTN.</w:t>
      </w:r>
    </w:p>
    <w:p w:rsidR="004A3703" w:rsidRPr="00C01DA5" w:rsidRDefault="004A3703" w:rsidP="00722B0E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A Tabela I a Seguir </w:t>
      </w:r>
      <w:r w:rsidR="007A5627" w:rsidRPr="00C01DA5">
        <w:rPr>
          <w:rFonts w:ascii="Arial" w:hAnsi="Arial" w:cs="Arial"/>
        </w:rPr>
        <w:t>apresenta a composição da aplicação dos recursos por parte do município de Salvador e apresenta-se relevante pois nos permite visualizar como foi distribuído os recursos de acordo com as funções de governo.</w:t>
      </w:r>
    </w:p>
    <w:p w:rsidR="00722B0E" w:rsidRDefault="00722B0E" w:rsidP="00225C81">
      <w:pPr>
        <w:jc w:val="both"/>
        <w:rPr>
          <w:rFonts w:ascii="Arial" w:eastAsia="Calibri" w:hAnsi="Arial" w:cs="Arial"/>
          <w:b/>
        </w:rPr>
      </w:pPr>
    </w:p>
    <w:p w:rsidR="007A5627" w:rsidRPr="00722B0E" w:rsidRDefault="007A5627" w:rsidP="00225C81">
      <w:pPr>
        <w:jc w:val="both"/>
        <w:rPr>
          <w:rFonts w:ascii="Arial" w:hAnsi="Arial" w:cs="Arial"/>
          <w:sz w:val="20"/>
          <w:szCs w:val="20"/>
        </w:rPr>
      </w:pPr>
      <w:r w:rsidRPr="00722B0E">
        <w:rPr>
          <w:rFonts w:ascii="Arial" w:eastAsia="Calibri" w:hAnsi="Arial" w:cs="Arial"/>
          <w:b/>
          <w:sz w:val="20"/>
          <w:szCs w:val="20"/>
        </w:rPr>
        <w:t>TABELA I</w:t>
      </w:r>
      <w:r w:rsidRPr="00722B0E">
        <w:rPr>
          <w:rFonts w:ascii="Arial" w:eastAsia="Calibri" w:hAnsi="Arial" w:cs="Arial"/>
          <w:sz w:val="20"/>
          <w:szCs w:val="20"/>
        </w:rPr>
        <w:t>: Composição percentual de aplicação de recursos, entre</w:t>
      </w:r>
      <w:r w:rsidR="00225C81" w:rsidRPr="00722B0E">
        <w:rPr>
          <w:rFonts w:ascii="Arial" w:eastAsia="Calibri" w:hAnsi="Arial" w:cs="Arial"/>
          <w:sz w:val="20"/>
          <w:szCs w:val="20"/>
        </w:rPr>
        <w:t xml:space="preserve"> 2006 à 2013, em Salvador-BA, 2014.</w:t>
      </w:r>
    </w:p>
    <w:p w:rsidR="007826BA" w:rsidRPr="00C01DA5" w:rsidRDefault="004303B1" w:rsidP="007826BA">
      <w:pPr>
        <w:spacing w:after="100" w:afterAutospacing="1"/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81.45pt;margin-top:183.7pt;width:25.5pt;height:23.25pt;z-index:251655680">
            <v:textbox>
              <w:txbxContent>
                <w:p w:rsidR="00260953" w:rsidRPr="007826BA" w:rsidRDefault="00260953" w:rsidP="007826BA">
                  <w:pPr>
                    <w:shd w:val="clear" w:color="auto" w:fill="BFBFBF"/>
                    <w:rPr>
                      <w:color w:val="000000"/>
                    </w:rPr>
                  </w:pPr>
                  <w:r w:rsidRPr="007826BA">
                    <w:rPr>
                      <w:color w:val="000000"/>
                    </w:rPr>
                    <w:t>*</w:t>
                  </w:r>
                </w:p>
              </w:txbxContent>
            </v:textbox>
          </v:shape>
        </w:pict>
      </w:r>
      <w:r w:rsidR="00366D95" w:rsidRPr="00C01DA5">
        <w:rPr>
          <w:rFonts w:ascii="Arial" w:hAnsi="Arial" w:cs="Arial"/>
          <w:noProof/>
        </w:rPr>
        <w:drawing>
          <wp:inline distT="0" distB="0" distL="0" distR="0">
            <wp:extent cx="5753100" cy="2990850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5627" w:rsidRPr="00722B0E">
        <w:rPr>
          <w:rFonts w:ascii="Arial" w:hAnsi="Arial" w:cs="Arial"/>
          <w:b/>
          <w:sz w:val="20"/>
          <w:szCs w:val="20"/>
        </w:rPr>
        <w:t>Fonte</w:t>
      </w:r>
      <w:r w:rsidR="007A5627" w:rsidRPr="00C01DA5">
        <w:rPr>
          <w:rFonts w:ascii="Arial" w:hAnsi="Arial" w:cs="Arial"/>
          <w:sz w:val="20"/>
          <w:szCs w:val="20"/>
        </w:rPr>
        <w:t>: Elaborado pelos autores</w:t>
      </w:r>
      <w:r w:rsidR="00865F61" w:rsidRPr="00C01DA5">
        <w:rPr>
          <w:rFonts w:ascii="Arial" w:hAnsi="Arial" w:cs="Arial"/>
          <w:sz w:val="20"/>
          <w:szCs w:val="20"/>
        </w:rPr>
        <w:t>, 2014.</w:t>
      </w:r>
    </w:p>
    <w:p w:rsidR="007A5627" w:rsidRPr="00B71AEC" w:rsidRDefault="007A5627" w:rsidP="00225C81">
      <w:pPr>
        <w:spacing w:after="100" w:afterAutospacing="1"/>
        <w:jc w:val="both"/>
        <w:rPr>
          <w:rFonts w:ascii="Arial" w:hAnsi="Arial" w:cs="Arial"/>
          <w:sz w:val="16"/>
          <w:szCs w:val="16"/>
        </w:rPr>
      </w:pPr>
      <w:r w:rsidRPr="00B71AEC">
        <w:rPr>
          <w:rFonts w:ascii="Arial" w:hAnsi="Arial" w:cs="Arial"/>
          <w:sz w:val="16"/>
          <w:szCs w:val="16"/>
        </w:rPr>
        <w:t>*Representa a aplicação nas Funções: Legislativa, Judiciária, Essencial à Justiça, Administração, Segurança Pública, Assistência Social, Previdência Social, Trabalho, Cultura, Direitos da Cidadania, Urbanismo, Habitação, Saneamento, Gestão Ambiental, Industria, Comércio e Serviços, Comunicações, Transporte e Desporto e Lazer.</w:t>
      </w:r>
    </w:p>
    <w:p w:rsidR="00B71AEC" w:rsidRDefault="00B71AEC" w:rsidP="00B71AEC">
      <w:pPr>
        <w:spacing w:line="360" w:lineRule="auto"/>
        <w:ind w:firstLine="709"/>
        <w:jc w:val="both"/>
        <w:rPr>
          <w:rFonts w:ascii="Arial" w:hAnsi="Arial" w:cs="Arial"/>
        </w:rPr>
      </w:pPr>
    </w:p>
    <w:p w:rsidR="007A5627" w:rsidRPr="00C01DA5" w:rsidRDefault="007826BA" w:rsidP="00B71AEC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>Através da Tabela I é possível perceber a magnitude das despesas com juros e encargos da dívida com relação ao total das despesas do município de Salvador, no período de 2006 à 2009 sempre manteve valores próximos a 8%, representando, nesse período mais da metade dos recursos aplicados em educação. É possível identificar que a partir de 2010, com incremento das receitas municipais o total da despesa saltou de 2,5 bilhões para 3,25 bilhões, o que acabou reduzindo o coeficiente de participação dos gastos com a dívida para 5,68%.</w:t>
      </w:r>
    </w:p>
    <w:p w:rsidR="00865F61" w:rsidRPr="00C01DA5" w:rsidRDefault="00865F61" w:rsidP="00B71AEC">
      <w:pPr>
        <w:spacing w:line="360" w:lineRule="auto"/>
        <w:ind w:firstLine="709"/>
        <w:jc w:val="both"/>
        <w:rPr>
          <w:rFonts w:ascii="Arial" w:hAnsi="Arial" w:cs="Arial"/>
        </w:rPr>
      </w:pPr>
    </w:p>
    <w:p w:rsidR="00865F61" w:rsidRPr="00C01DA5" w:rsidRDefault="00865F61" w:rsidP="00B71AEC">
      <w:pPr>
        <w:spacing w:line="360" w:lineRule="auto"/>
        <w:ind w:firstLine="709"/>
        <w:jc w:val="both"/>
        <w:rPr>
          <w:rFonts w:ascii="Arial" w:hAnsi="Arial" w:cs="Arial"/>
        </w:rPr>
      </w:pPr>
    </w:p>
    <w:p w:rsidR="00B71AEC" w:rsidRDefault="00B71AEC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:rsidR="00BF78F4" w:rsidRPr="00B71AEC" w:rsidRDefault="00BF78F4" w:rsidP="00225C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71AEC">
        <w:rPr>
          <w:rFonts w:ascii="Arial" w:eastAsia="Calibri" w:hAnsi="Arial" w:cs="Arial"/>
          <w:b/>
          <w:sz w:val="20"/>
          <w:szCs w:val="20"/>
        </w:rPr>
        <w:lastRenderedPageBreak/>
        <w:t>GRÁFICO III</w:t>
      </w:r>
      <w:r w:rsidRPr="00B71AEC">
        <w:rPr>
          <w:rFonts w:ascii="Arial" w:eastAsia="Calibri" w:hAnsi="Arial" w:cs="Arial"/>
          <w:sz w:val="20"/>
          <w:szCs w:val="20"/>
        </w:rPr>
        <w:t>: Variação comportamental da Dívida Consolidad</w:t>
      </w:r>
      <w:r w:rsidR="00225C81" w:rsidRPr="00B71AEC">
        <w:rPr>
          <w:rFonts w:ascii="Arial" w:eastAsia="Calibri" w:hAnsi="Arial" w:cs="Arial"/>
          <w:sz w:val="20"/>
          <w:szCs w:val="20"/>
        </w:rPr>
        <w:t>a Líquida, Vitória da Conquista, 2014.</w:t>
      </w:r>
    </w:p>
    <w:p w:rsidR="003867D9" w:rsidRPr="00C01DA5" w:rsidRDefault="00366D95" w:rsidP="003867D9">
      <w:pPr>
        <w:spacing w:after="100" w:afterAutospacing="1"/>
        <w:jc w:val="both"/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  <w:noProof/>
        </w:rPr>
        <w:drawing>
          <wp:inline distT="0" distB="0" distL="0" distR="0">
            <wp:extent cx="5760720" cy="2289600"/>
            <wp:effectExtent l="19050" t="0" r="11430" b="0"/>
            <wp:docPr id="4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867D9" w:rsidRPr="00C01DA5">
        <w:rPr>
          <w:rFonts w:ascii="Arial" w:hAnsi="Arial" w:cs="Arial"/>
          <w:sz w:val="20"/>
          <w:szCs w:val="20"/>
        </w:rPr>
        <w:t xml:space="preserve"> </w:t>
      </w:r>
      <w:r w:rsidR="003867D9" w:rsidRPr="00B71AEC">
        <w:rPr>
          <w:rFonts w:ascii="Arial" w:hAnsi="Arial" w:cs="Arial"/>
          <w:b/>
          <w:sz w:val="20"/>
          <w:szCs w:val="20"/>
        </w:rPr>
        <w:t>Fonte</w:t>
      </w:r>
      <w:r w:rsidR="003867D9" w:rsidRPr="00C01DA5">
        <w:rPr>
          <w:rFonts w:ascii="Arial" w:hAnsi="Arial" w:cs="Arial"/>
          <w:sz w:val="20"/>
          <w:szCs w:val="20"/>
        </w:rPr>
        <w:t>: Elaborado pelos autores</w:t>
      </w:r>
      <w:r w:rsidR="00865F61" w:rsidRPr="00C01DA5">
        <w:rPr>
          <w:rFonts w:ascii="Arial" w:hAnsi="Arial" w:cs="Arial"/>
          <w:sz w:val="20"/>
          <w:szCs w:val="20"/>
        </w:rPr>
        <w:t>, 2014.</w:t>
      </w:r>
    </w:p>
    <w:p w:rsidR="0096129B" w:rsidRDefault="0096129B" w:rsidP="007E7B0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E1043" w:rsidRPr="00C01DA5" w:rsidRDefault="004E1043" w:rsidP="007E7B00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O gráfico III traz a variação comportamental da DFC do município de Vitória da Conquista, a ausência dos valores nos anos de 2000 a 2003 ocorre pois os dados desses períodos não estavam </w:t>
      </w:r>
      <w:r w:rsidR="00EE0846" w:rsidRPr="00C01DA5">
        <w:rPr>
          <w:rFonts w:ascii="Arial" w:hAnsi="Arial" w:cs="Arial"/>
        </w:rPr>
        <w:t>disponíveis no SISTN. Percebe-se</w:t>
      </w:r>
      <w:r w:rsidRPr="00C01DA5">
        <w:rPr>
          <w:rFonts w:ascii="Arial" w:hAnsi="Arial" w:cs="Arial"/>
        </w:rPr>
        <w:t xml:space="preserve"> que houve em 2008 um expressivo crescimento do índice, e que a partir de 2010 o valor da dívida apresentou redução e novo crescimento a partir de 2011. </w:t>
      </w:r>
    </w:p>
    <w:p w:rsidR="004E1043" w:rsidRPr="00C01DA5" w:rsidRDefault="004E1043" w:rsidP="007E7B00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Já o gráfico IV nos mostra que a razão DCL/RCL, se manteve bem abaixo do limite legal em todo o período, e que os anos onde o índice foi maior foi justamente 2009, quando a dívida alcançou R$ </w:t>
      </w:r>
      <w:r w:rsidR="00D87FBB" w:rsidRPr="00C01DA5">
        <w:rPr>
          <w:rFonts w:ascii="Arial" w:hAnsi="Arial" w:cs="Arial"/>
        </w:rPr>
        <w:t>121,2 Mi</w:t>
      </w:r>
      <w:r w:rsidRPr="00C01DA5">
        <w:rPr>
          <w:rFonts w:ascii="Arial" w:hAnsi="Arial" w:cs="Arial"/>
        </w:rPr>
        <w:t xml:space="preserve">lhões representando 46,74 da RCL. Porém a partir de 2010 o índice DCL/RCL apresentou gradual redução até chegar ao </w:t>
      </w:r>
      <w:r w:rsidR="00865F61" w:rsidRPr="00C01DA5">
        <w:rPr>
          <w:rFonts w:ascii="Arial" w:hAnsi="Arial" w:cs="Arial"/>
        </w:rPr>
        <w:t>atual quociente de 21,24%, conforme o gráfico IV.</w:t>
      </w:r>
    </w:p>
    <w:p w:rsidR="00C81D8E" w:rsidRDefault="00C81D8E" w:rsidP="00225C81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</w:rPr>
      </w:pPr>
    </w:p>
    <w:p w:rsidR="00BF78F4" w:rsidRPr="007E7B00" w:rsidRDefault="00BF78F4" w:rsidP="00225C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E7B00">
        <w:rPr>
          <w:rFonts w:ascii="Arial" w:eastAsia="Calibri" w:hAnsi="Arial" w:cs="Arial"/>
          <w:b/>
          <w:sz w:val="20"/>
          <w:szCs w:val="20"/>
        </w:rPr>
        <w:t>GRÁFICO IV</w:t>
      </w:r>
      <w:r w:rsidRPr="007E7B00">
        <w:rPr>
          <w:rFonts w:ascii="Arial" w:eastAsia="Calibri" w:hAnsi="Arial" w:cs="Arial"/>
          <w:sz w:val="20"/>
          <w:szCs w:val="20"/>
        </w:rPr>
        <w:t xml:space="preserve">: Razão entre Dívida Consolidada Líquida e Receita Corrente Líquida, </w:t>
      </w:r>
      <w:r w:rsidR="0067031B" w:rsidRPr="007E7B00">
        <w:rPr>
          <w:rFonts w:ascii="Arial" w:eastAsia="Calibri" w:hAnsi="Arial" w:cs="Arial"/>
          <w:sz w:val="20"/>
          <w:szCs w:val="20"/>
        </w:rPr>
        <w:t>Vitória da Conquista</w:t>
      </w:r>
      <w:r w:rsidR="00225C81" w:rsidRPr="007E7B00">
        <w:rPr>
          <w:rFonts w:ascii="Arial" w:eastAsia="Calibri" w:hAnsi="Arial" w:cs="Arial"/>
          <w:sz w:val="20"/>
          <w:szCs w:val="20"/>
        </w:rPr>
        <w:t>, 2014.</w:t>
      </w:r>
    </w:p>
    <w:p w:rsidR="0006322A" w:rsidRPr="00C01DA5" w:rsidRDefault="00366D95" w:rsidP="003867D9">
      <w:pPr>
        <w:spacing w:after="100" w:afterAutospacing="1"/>
        <w:jc w:val="both"/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  <w:noProof/>
        </w:rPr>
        <w:drawing>
          <wp:inline distT="0" distB="0" distL="0" distR="0">
            <wp:extent cx="5760720" cy="2289600"/>
            <wp:effectExtent l="19050" t="0" r="11430" b="0"/>
            <wp:docPr id="5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06322A" w:rsidRPr="00C01DA5">
        <w:rPr>
          <w:rFonts w:ascii="Arial" w:hAnsi="Arial" w:cs="Arial"/>
          <w:sz w:val="20"/>
          <w:szCs w:val="20"/>
        </w:rPr>
        <w:t xml:space="preserve"> </w:t>
      </w:r>
      <w:r w:rsidR="0006322A" w:rsidRPr="007E7B00">
        <w:rPr>
          <w:rFonts w:ascii="Arial" w:hAnsi="Arial" w:cs="Arial"/>
          <w:b/>
          <w:sz w:val="20"/>
          <w:szCs w:val="20"/>
        </w:rPr>
        <w:t>Fonte</w:t>
      </w:r>
      <w:r w:rsidR="0006322A" w:rsidRPr="00C01DA5">
        <w:rPr>
          <w:rFonts w:ascii="Arial" w:hAnsi="Arial" w:cs="Arial"/>
          <w:sz w:val="20"/>
          <w:szCs w:val="20"/>
        </w:rPr>
        <w:t>: Elaborado pelos autores</w:t>
      </w:r>
      <w:r w:rsidR="00865F61" w:rsidRPr="00C01DA5">
        <w:rPr>
          <w:rFonts w:ascii="Arial" w:hAnsi="Arial" w:cs="Arial"/>
          <w:sz w:val="20"/>
          <w:szCs w:val="20"/>
        </w:rPr>
        <w:t>, 2014.</w:t>
      </w:r>
    </w:p>
    <w:p w:rsidR="00515970" w:rsidRPr="00C01DA5" w:rsidRDefault="000717BF" w:rsidP="00601631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lastRenderedPageBreak/>
        <w:t xml:space="preserve">A </w:t>
      </w:r>
      <w:r w:rsidR="00E84BFF" w:rsidRPr="00C01DA5">
        <w:rPr>
          <w:rFonts w:ascii="Arial" w:hAnsi="Arial" w:cs="Arial"/>
        </w:rPr>
        <w:t>t</w:t>
      </w:r>
      <w:r w:rsidRPr="00C01DA5">
        <w:rPr>
          <w:rFonts w:ascii="Arial" w:hAnsi="Arial" w:cs="Arial"/>
        </w:rPr>
        <w:t>abela II</w:t>
      </w:r>
      <w:r w:rsidR="00515970" w:rsidRPr="00C01DA5">
        <w:rPr>
          <w:rFonts w:ascii="Arial" w:hAnsi="Arial" w:cs="Arial"/>
        </w:rPr>
        <w:t>, nos permite verificar qual foi a participação dos gastos com juros e amortização da DCL no total das despesas do m</w:t>
      </w:r>
      <w:r w:rsidR="00EE0846" w:rsidRPr="00C01DA5">
        <w:rPr>
          <w:rFonts w:ascii="Arial" w:hAnsi="Arial" w:cs="Arial"/>
        </w:rPr>
        <w:t>unicípio, neste caso, percebe-se</w:t>
      </w:r>
      <w:r w:rsidR="00515970" w:rsidRPr="00C01DA5">
        <w:rPr>
          <w:rFonts w:ascii="Arial" w:hAnsi="Arial" w:cs="Arial"/>
        </w:rPr>
        <w:t xml:space="preserve"> que em Vitória da Conquista a participação mais expressiva ocorreu em 2006, com 7,34%, e que ao longo do período ela se manteve em um patamar abaixo dos 7%.</w:t>
      </w:r>
    </w:p>
    <w:p w:rsidR="00BF78F4" w:rsidRPr="00C01DA5" w:rsidRDefault="00515970" w:rsidP="00601631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>Vale ressaltar que a as despesas com educação e saúde aumentaram consideravelmente ao longo do período, ao ponto de em 2013 representar, as duas somadas,</w:t>
      </w:r>
      <w:r w:rsidR="000717BF" w:rsidRPr="00C01DA5">
        <w:rPr>
          <w:rFonts w:ascii="Arial" w:hAnsi="Arial" w:cs="Arial"/>
        </w:rPr>
        <w:t xml:space="preserve"> 67,76% do to</w:t>
      </w:r>
      <w:r w:rsidR="00865F61" w:rsidRPr="00C01DA5">
        <w:rPr>
          <w:rFonts w:ascii="Arial" w:hAnsi="Arial" w:cs="Arial"/>
        </w:rPr>
        <w:t>tal das despesas do município (Tabela II).</w:t>
      </w:r>
    </w:p>
    <w:p w:rsidR="00601631" w:rsidRDefault="00601631" w:rsidP="003D3354">
      <w:pPr>
        <w:jc w:val="both"/>
        <w:rPr>
          <w:rFonts w:ascii="Arial" w:eastAsia="Calibri" w:hAnsi="Arial" w:cs="Arial"/>
          <w:b/>
        </w:rPr>
      </w:pPr>
    </w:p>
    <w:p w:rsidR="00721249" w:rsidRPr="00601631" w:rsidRDefault="00515970" w:rsidP="003D3354">
      <w:pPr>
        <w:jc w:val="both"/>
        <w:rPr>
          <w:rFonts w:ascii="Arial" w:eastAsia="Calibri" w:hAnsi="Arial" w:cs="Arial"/>
          <w:sz w:val="20"/>
          <w:szCs w:val="20"/>
        </w:rPr>
      </w:pPr>
      <w:r w:rsidRPr="00601631">
        <w:rPr>
          <w:rFonts w:ascii="Arial" w:eastAsia="Calibri" w:hAnsi="Arial" w:cs="Arial"/>
          <w:b/>
          <w:sz w:val="20"/>
          <w:szCs w:val="20"/>
        </w:rPr>
        <w:t>TABELA II</w:t>
      </w:r>
      <w:r w:rsidRPr="00601631">
        <w:rPr>
          <w:rFonts w:ascii="Arial" w:eastAsia="Calibri" w:hAnsi="Arial" w:cs="Arial"/>
          <w:sz w:val="20"/>
          <w:szCs w:val="20"/>
        </w:rPr>
        <w:t>: Composição percentual de aplicação de recursos, entre 2006 à 2013</w:t>
      </w:r>
      <w:r w:rsidR="00E84BFF" w:rsidRPr="00601631">
        <w:rPr>
          <w:rFonts w:ascii="Arial" w:eastAsia="Calibri" w:hAnsi="Arial" w:cs="Arial"/>
          <w:sz w:val="20"/>
          <w:szCs w:val="20"/>
        </w:rPr>
        <w:t>, em Vitória da Conquista-BA, 2014.</w:t>
      </w:r>
    </w:p>
    <w:p w:rsidR="00721249" w:rsidRPr="00C01DA5" w:rsidRDefault="00366D95" w:rsidP="00721249">
      <w:pPr>
        <w:spacing w:after="100" w:afterAutospacing="1"/>
        <w:jc w:val="both"/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  <w:noProof/>
        </w:rPr>
        <w:drawing>
          <wp:inline distT="0" distB="0" distL="0" distR="0">
            <wp:extent cx="5886450" cy="2886075"/>
            <wp:effectExtent l="1905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1249" w:rsidRPr="00C01DA5">
        <w:rPr>
          <w:rFonts w:ascii="Arial" w:hAnsi="Arial" w:cs="Arial"/>
          <w:sz w:val="20"/>
          <w:szCs w:val="20"/>
        </w:rPr>
        <w:t xml:space="preserve"> </w:t>
      </w:r>
      <w:r w:rsidR="00721249" w:rsidRPr="00601631">
        <w:rPr>
          <w:rFonts w:ascii="Arial" w:hAnsi="Arial" w:cs="Arial"/>
          <w:b/>
          <w:sz w:val="20"/>
          <w:szCs w:val="20"/>
        </w:rPr>
        <w:t>Fonte</w:t>
      </w:r>
      <w:r w:rsidR="00721249" w:rsidRPr="00C01DA5">
        <w:rPr>
          <w:rFonts w:ascii="Arial" w:hAnsi="Arial" w:cs="Arial"/>
          <w:sz w:val="20"/>
          <w:szCs w:val="20"/>
        </w:rPr>
        <w:t>: Elaborado pelos autores</w:t>
      </w:r>
      <w:r w:rsidR="00865F61" w:rsidRPr="00C01DA5">
        <w:rPr>
          <w:rFonts w:ascii="Arial" w:hAnsi="Arial" w:cs="Arial"/>
          <w:sz w:val="20"/>
          <w:szCs w:val="20"/>
        </w:rPr>
        <w:t>, 2014.</w:t>
      </w:r>
    </w:p>
    <w:p w:rsidR="00721249" w:rsidRPr="00601631" w:rsidRDefault="00721249" w:rsidP="00721249">
      <w:pPr>
        <w:spacing w:after="100" w:afterAutospacing="1"/>
        <w:jc w:val="both"/>
        <w:rPr>
          <w:rFonts w:ascii="Arial" w:hAnsi="Arial" w:cs="Arial"/>
          <w:sz w:val="16"/>
          <w:szCs w:val="16"/>
        </w:rPr>
      </w:pPr>
      <w:r w:rsidRPr="00601631">
        <w:rPr>
          <w:rFonts w:ascii="Arial" w:hAnsi="Arial" w:cs="Arial"/>
          <w:sz w:val="16"/>
          <w:szCs w:val="16"/>
        </w:rPr>
        <w:t>*Representa a aplicação nas Funções: Legislativa, Judiciária, Essencial à Justiça, Administração, Segurança Pública, Assistência Social, Previdência Social, Trabalho, Cultura, Direitos da Cidadania, Urbanismo, Habitação, Saneamento, Gestão Ambiental, Industria, Comércio e Serviços, Comunicações, Transporte e Desporto e Lazer.</w:t>
      </w:r>
    </w:p>
    <w:p w:rsidR="006C379C" w:rsidRPr="00C01DA5" w:rsidRDefault="006C379C" w:rsidP="00601631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O Gráfico V, traz a variação comportamental da DCL no município de Feira de Santana, nele é possível verificar que 2008 a DCL cresceu 52,2% em relação a 2007, chegando a 129,64 milhões (maior valor apurado no período de 2005 a 2013) e que manteve uma sensível redução de 2007 até 2010, quando a dívida decresceu </w:t>
      </w:r>
      <w:r w:rsidR="009A38B4" w:rsidRPr="00C01DA5">
        <w:rPr>
          <w:rFonts w:ascii="Arial" w:hAnsi="Arial" w:cs="Arial"/>
        </w:rPr>
        <w:t>38,8% chegando ao valor de 68,67 milhões em 2011.</w:t>
      </w:r>
    </w:p>
    <w:p w:rsidR="009A38B4" w:rsidRPr="00C01DA5" w:rsidRDefault="009A38B4" w:rsidP="00601631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Ao analisar o gráfico V em conjunto com o gráfico VI, que </w:t>
      </w:r>
      <w:r w:rsidR="00EE0846" w:rsidRPr="00C01DA5">
        <w:rPr>
          <w:rFonts w:ascii="Arial" w:hAnsi="Arial" w:cs="Arial"/>
        </w:rPr>
        <w:t>traz o índice DCL/RCL percebe-se</w:t>
      </w:r>
      <w:r w:rsidRPr="00C01DA5">
        <w:rPr>
          <w:rFonts w:ascii="Arial" w:hAnsi="Arial" w:cs="Arial"/>
        </w:rPr>
        <w:t xml:space="preserve"> que durante todo o período estudado o índice se manteve dentro dos limites impostos pela LRF, sendo que o maior percentual foi justamente em 2008, quando alcançou 32% da RCL. </w:t>
      </w:r>
      <w:r w:rsidR="005D18B6" w:rsidRPr="00C01DA5">
        <w:rPr>
          <w:rFonts w:ascii="Arial" w:hAnsi="Arial" w:cs="Arial"/>
        </w:rPr>
        <w:t>Porém a partir de 2009 o índice foi gradualmente reduzindo até chegar a 9,18% em 2013 (menor do período).</w:t>
      </w:r>
    </w:p>
    <w:p w:rsidR="00BF78F4" w:rsidRPr="005A691B" w:rsidRDefault="00BF78F4" w:rsidP="00E84B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A691B">
        <w:rPr>
          <w:rFonts w:ascii="Arial" w:eastAsia="Calibri" w:hAnsi="Arial" w:cs="Arial"/>
          <w:b/>
          <w:sz w:val="20"/>
          <w:szCs w:val="20"/>
        </w:rPr>
        <w:lastRenderedPageBreak/>
        <w:t>GRÁFICO V</w:t>
      </w:r>
      <w:r w:rsidRPr="005A691B">
        <w:rPr>
          <w:rFonts w:ascii="Arial" w:eastAsia="Calibri" w:hAnsi="Arial" w:cs="Arial"/>
          <w:sz w:val="20"/>
          <w:szCs w:val="20"/>
        </w:rPr>
        <w:t>: Variação comportamental da Dívida Consol</w:t>
      </w:r>
      <w:r w:rsidR="00E84BFF" w:rsidRPr="005A691B">
        <w:rPr>
          <w:rFonts w:ascii="Arial" w:eastAsia="Calibri" w:hAnsi="Arial" w:cs="Arial"/>
          <w:sz w:val="20"/>
          <w:szCs w:val="20"/>
        </w:rPr>
        <w:t>idada Líquida, Feira de Santana, 2014.</w:t>
      </w:r>
    </w:p>
    <w:p w:rsidR="00AF1500" w:rsidRPr="00C01DA5" w:rsidRDefault="00366D95" w:rsidP="003867D9">
      <w:pPr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  <w:noProof/>
        </w:rPr>
        <w:drawing>
          <wp:inline distT="0" distB="0" distL="0" distR="0">
            <wp:extent cx="5760720" cy="2289600"/>
            <wp:effectExtent l="19050" t="0" r="11430" b="0"/>
            <wp:docPr id="7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7B62C8" w:rsidRPr="00C01DA5">
        <w:rPr>
          <w:rFonts w:ascii="Arial" w:hAnsi="Arial" w:cs="Arial"/>
          <w:sz w:val="20"/>
          <w:szCs w:val="20"/>
        </w:rPr>
        <w:t xml:space="preserve"> </w:t>
      </w:r>
      <w:r w:rsidR="007B62C8" w:rsidRPr="005A691B">
        <w:rPr>
          <w:rFonts w:ascii="Arial" w:hAnsi="Arial" w:cs="Arial"/>
          <w:b/>
          <w:sz w:val="20"/>
          <w:szCs w:val="20"/>
        </w:rPr>
        <w:t>Fonte</w:t>
      </w:r>
      <w:r w:rsidR="007B62C8" w:rsidRPr="00C01DA5">
        <w:rPr>
          <w:rFonts w:ascii="Arial" w:hAnsi="Arial" w:cs="Arial"/>
          <w:sz w:val="20"/>
          <w:szCs w:val="20"/>
        </w:rPr>
        <w:t>: Elaborado pelos autores</w:t>
      </w:r>
      <w:r w:rsidR="00865F61" w:rsidRPr="00C01DA5">
        <w:rPr>
          <w:rFonts w:ascii="Arial" w:hAnsi="Arial" w:cs="Arial"/>
          <w:sz w:val="20"/>
          <w:szCs w:val="20"/>
        </w:rPr>
        <w:t>, 2014.</w:t>
      </w:r>
    </w:p>
    <w:p w:rsidR="00E84BFF" w:rsidRPr="00C01DA5" w:rsidRDefault="00E84BFF" w:rsidP="00E84BF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:rsidR="0067031B" w:rsidRPr="00F34478" w:rsidRDefault="0067031B" w:rsidP="00E84B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34478">
        <w:rPr>
          <w:rFonts w:ascii="Arial" w:eastAsia="Calibri" w:hAnsi="Arial" w:cs="Arial"/>
          <w:b/>
          <w:sz w:val="20"/>
          <w:szCs w:val="20"/>
        </w:rPr>
        <w:t>GRÁFICO VI</w:t>
      </w:r>
      <w:r w:rsidRPr="00F34478">
        <w:rPr>
          <w:rFonts w:ascii="Arial" w:eastAsia="Calibri" w:hAnsi="Arial" w:cs="Arial"/>
          <w:sz w:val="20"/>
          <w:szCs w:val="20"/>
        </w:rPr>
        <w:t>: Razão entre Dívida Consolidada Líquida e Receita Cor</w:t>
      </w:r>
      <w:r w:rsidR="00865F61" w:rsidRPr="00F34478">
        <w:rPr>
          <w:rFonts w:ascii="Arial" w:eastAsia="Calibri" w:hAnsi="Arial" w:cs="Arial"/>
          <w:sz w:val="20"/>
          <w:szCs w:val="20"/>
        </w:rPr>
        <w:t>rente Líquida, Feira de Santana, 2014.</w:t>
      </w:r>
    </w:p>
    <w:p w:rsidR="0006322A" w:rsidRPr="00C01DA5" w:rsidRDefault="00366D95" w:rsidP="003867D9">
      <w:pPr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  <w:noProof/>
        </w:rPr>
        <w:drawing>
          <wp:inline distT="0" distB="0" distL="0" distR="0">
            <wp:extent cx="5760720" cy="2289600"/>
            <wp:effectExtent l="19050" t="0" r="11430" b="0"/>
            <wp:docPr id="8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06322A" w:rsidRPr="00C01DA5">
        <w:rPr>
          <w:rFonts w:ascii="Arial" w:hAnsi="Arial" w:cs="Arial"/>
          <w:sz w:val="20"/>
          <w:szCs w:val="20"/>
        </w:rPr>
        <w:t xml:space="preserve"> </w:t>
      </w:r>
      <w:r w:rsidR="0006322A" w:rsidRPr="00F34478">
        <w:rPr>
          <w:rFonts w:ascii="Arial" w:hAnsi="Arial" w:cs="Arial"/>
          <w:b/>
          <w:sz w:val="20"/>
          <w:szCs w:val="20"/>
        </w:rPr>
        <w:t>Fonte</w:t>
      </w:r>
      <w:r w:rsidR="0006322A" w:rsidRPr="00C01DA5">
        <w:rPr>
          <w:rFonts w:ascii="Arial" w:hAnsi="Arial" w:cs="Arial"/>
          <w:sz w:val="20"/>
          <w:szCs w:val="20"/>
        </w:rPr>
        <w:t>: Elaborado pelos autores</w:t>
      </w:r>
      <w:r w:rsidR="00865F61" w:rsidRPr="00C01DA5">
        <w:rPr>
          <w:rFonts w:ascii="Arial" w:hAnsi="Arial" w:cs="Arial"/>
          <w:sz w:val="20"/>
          <w:szCs w:val="20"/>
        </w:rPr>
        <w:t>, 2014.</w:t>
      </w:r>
    </w:p>
    <w:p w:rsidR="00773366" w:rsidRDefault="00773366" w:rsidP="0077336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7B62C8" w:rsidRPr="00C01DA5" w:rsidRDefault="005D18B6" w:rsidP="00773366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A tabela III, a seguir, </w:t>
      </w:r>
      <w:r w:rsidR="002431FD" w:rsidRPr="00C01DA5">
        <w:rPr>
          <w:rFonts w:ascii="Arial" w:hAnsi="Arial" w:cs="Arial"/>
        </w:rPr>
        <w:t>permite identificar a composição dos gastos do município de Feira de</w:t>
      </w:r>
      <w:r w:rsidR="00EE0846" w:rsidRPr="00C01DA5">
        <w:rPr>
          <w:rFonts w:ascii="Arial" w:hAnsi="Arial" w:cs="Arial"/>
        </w:rPr>
        <w:t xml:space="preserve"> Santana. Desta forma percebe-se</w:t>
      </w:r>
      <w:r w:rsidR="002431FD" w:rsidRPr="00C01DA5">
        <w:rPr>
          <w:rFonts w:ascii="Arial" w:hAnsi="Arial" w:cs="Arial"/>
        </w:rPr>
        <w:t xml:space="preserve"> que o gasto com juros e amortização da dívida representou entre 2,08% e 3,56%, sendo mais expressiva em 2010.</w:t>
      </w:r>
    </w:p>
    <w:p w:rsidR="00773366" w:rsidRDefault="002431FD" w:rsidP="00773366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Vale destacar também que em 2013, as despesas com educação e saúde representaram 64,24% do total dos gastos do município, explicitando o </w:t>
      </w:r>
      <w:r w:rsidR="002E040B" w:rsidRPr="00C01DA5">
        <w:rPr>
          <w:rFonts w:ascii="Arial" w:hAnsi="Arial" w:cs="Arial"/>
        </w:rPr>
        <w:t>impacto</w:t>
      </w:r>
      <w:r w:rsidRPr="00C01DA5">
        <w:rPr>
          <w:rFonts w:ascii="Arial" w:hAnsi="Arial" w:cs="Arial"/>
        </w:rPr>
        <w:t xml:space="preserve"> dessas despesas básicas nas finanças do município.</w:t>
      </w:r>
    </w:p>
    <w:p w:rsidR="00773366" w:rsidRDefault="0077336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4506E" w:rsidRPr="00773366" w:rsidRDefault="00D4506E" w:rsidP="00E84BFF">
      <w:pPr>
        <w:jc w:val="both"/>
        <w:rPr>
          <w:rFonts w:ascii="Arial" w:hAnsi="Arial" w:cs="Arial"/>
          <w:sz w:val="20"/>
          <w:szCs w:val="20"/>
        </w:rPr>
      </w:pPr>
      <w:r w:rsidRPr="00773366">
        <w:rPr>
          <w:rFonts w:ascii="Arial" w:eastAsia="Calibri" w:hAnsi="Arial" w:cs="Arial"/>
          <w:b/>
          <w:sz w:val="20"/>
          <w:szCs w:val="20"/>
        </w:rPr>
        <w:lastRenderedPageBreak/>
        <w:t>TABELA III</w:t>
      </w:r>
      <w:r w:rsidRPr="00773366">
        <w:rPr>
          <w:rFonts w:ascii="Arial" w:eastAsia="Calibri" w:hAnsi="Arial" w:cs="Arial"/>
          <w:sz w:val="20"/>
          <w:szCs w:val="20"/>
        </w:rPr>
        <w:t>: Composição percentual de aplicação de recursos, entre 2</w:t>
      </w:r>
      <w:r w:rsidR="00E84BFF" w:rsidRPr="00773366">
        <w:rPr>
          <w:rFonts w:ascii="Arial" w:eastAsia="Calibri" w:hAnsi="Arial" w:cs="Arial"/>
          <w:sz w:val="20"/>
          <w:szCs w:val="20"/>
        </w:rPr>
        <w:t>006 à 2013, em Feira de Santana, 2014.</w:t>
      </w:r>
    </w:p>
    <w:p w:rsidR="002431FD" w:rsidRPr="00C01DA5" w:rsidRDefault="00366D95" w:rsidP="002431FD">
      <w:pPr>
        <w:spacing w:after="100" w:afterAutospacing="1"/>
        <w:jc w:val="both"/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  <w:noProof/>
        </w:rPr>
        <w:drawing>
          <wp:inline distT="0" distB="0" distL="0" distR="0">
            <wp:extent cx="5753100" cy="2752725"/>
            <wp:effectExtent l="1905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31FD" w:rsidRPr="00773366">
        <w:rPr>
          <w:rFonts w:ascii="Arial" w:hAnsi="Arial" w:cs="Arial"/>
          <w:b/>
          <w:sz w:val="20"/>
          <w:szCs w:val="20"/>
        </w:rPr>
        <w:t>Fonte</w:t>
      </w:r>
      <w:r w:rsidR="002431FD" w:rsidRPr="00C01DA5">
        <w:rPr>
          <w:rFonts w:ascii="Arial" w:hAnsi="Arial" w:cs="Arial"/>
          <w:sz w:val="20"/>
          <w:szCs w:val="20"/>
        </w:rPr>
        <w:t>: Elaborado pelos autores</w:t>
      </w:r>
      <w:r w:rsidR="00865F61" w:rsidRPr="00C01DA5">
        <w:rPr>
          <w:rFonts w:ascii="Arial" w:hAnsi="Arial" w:cs="Arial"/>
          <w:sz w:val="20"/>
          <w:szCs w:val="20"/>
        </w:rPr>
        <w:t>, 2014.</w:t>
      </w:r>
      <w:r w:rsidR="002431FD" w:rsidRPr="00C01DA5">
        <w:rPr>
          <w:rFonts w:ascii="Arial" w:hAnsi="Arial" w:cs="Arial"/>
          <w:sz w:val="20"/>
          <w:szCs w:val="20"/>
        </w:rPr>
        <w:t>*</w:t>
      </w:r>
    </w:p>
    <w:p w:rsidR="002431FD" w:rsidRPr="00773366" w:rsidRDefault="002431FD" w:rsidP="002431FD">
      <w:pPr>
        <w:spacing w:after="100" w:afterAutospacing="1"/>
        <w:jc w:val="both"/>
        <w:rPr>
          <w:rFonts w:ascii="Arial" w:hAnsi="Arial" w:cs="Arial"/>
          <w:sz w:val="16"/>
          <w:szCs w:val="16"/>
        </w:rPr>
      </w:pPr>
      <w:r w:rsidRPr="00773366">
        <w:rPr>
          <w:rFonts w:ascii="Arial" w:hAnsi="Arial" w:cs="Arial"/>
          <w:sz w:val="16"/>
          <w:szCs w:val="16"/>
        </w:rPr>
        <w:t>Representa a aplicação nas Funções: Legislativa, Judiciária, Essencial à Justiça, Administração, Segurança Pública, Assistência Social, Previdência Social, Trabalho, Cultura, Direitos da Cidadania, Urbanismo, Habitação, Saneamento, Gestão Ambiental, Industria, Comércio e Serviços, Comunicações, Transporte e Desporto e Lazer.</w:t>
      </w:r>
    </w:p>
    <w:p w:rsidR="00773366" w:rsidRDefault="00773366" w:rsidP="0077336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BF78F4" w:rsidRPr="00C01DA5" w:rsidRDefault="002E040B" w:rsidP="00773366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>Considerando o baixo índice de comprometime</w:t>
      </w:r>
      <w:r w:rsidR="00EE0846" w:rsidRPr="00C01DA5">
        <w:rPr>
          <w:rFonts w:ascii="Arial" w:hAnsi="Arial" w:cs="Arial"/>
        </w:rPr>
        <w:t>nto da RCL do município, pode-se</w:t>
      </w:r>
      <w:r w:rsidRPr="00C01DA5">
        <w:rPr>
          <w:rFonts w:ascii="Arial" w:hAnsi="Arial" w:cs="Arial"/>
        </w:rPr>
        <w:t xml:space="preserve"> afirmar que Feira de Santana mantém sua Dívida Consolidada Líquida sobre controle e que o comprometimento de suas receitas para honrar compromissos da dívida se encontra em patamar aceitável.</w:t>
      </w:r>
    </w:p>
    <w:p w:rsidR="002E040B" w:rsidRPr="00C01DA5" w:rsidRDefault="002E040B" w:rsidP="00773366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O gráfico VII traz a variação da DCL na cidade de Camaçari, </w:t>
      </w:r>
      <w:r w:rsidR="00EE0846" w:rsidRPr="00C01DA5">
        <w:rPr>
          <w:rFonts w:ascii="Arial" w:hAnsi="Arial" w:cs="Arial"/>
        </w:rPr>
        <w:t>nele se pode</w:t>
      </w:r>
      <w:r w:rsidR="00DF5ADC" w:rsidRPr="00C01DA5">
        <w:rPr>
          <w:rFonts w:ascii="Arial" w:hAnsi="Arial" w:cs="Arial"/>
        </w:rPr>
        <w:t xml:space="preserve"> observar que a dívida se manteve praticamente estável até 2008, e em 2009 cresceu cerca de 60% e chegou ao valor de 365,14 milhões e o maior valor do período foi verificado no exercício financeiro de 2011, quando alcançou 431,36 milhões</w:t>
      </w:r>
      <w:r w:rsidR="00ED3C49" w:rsidRPr="00C01DA5">
        <w:rPr>
          <w:rFonts w:ascii="Arial" w:hAnsi="Arial" w:cs="Arial"/>
        </w:rPr>
        <w:t>, e a partir deste mesmo ano decresceu 25% até o valor 322,36 milh</w:t>
      </w:r>
      <w:r w:rsidR="00EE0846" w:rsidRPr="00C01DA5">
        <w:rPr>
          <w:rFonts w:ascii="Arial" w:hAnsi="Arial" w:cs="Arial"/>
        </w:rPr>
        <w:t xml:space="preserve">ões em 2013, como pode-se </w:t>
      </w:r>
      <w:r w:rsidR="00FC7081" w:rsidRPr="00C01DA5">
        <w:rPr>
          <w:rFonts w:ascii="Arial" w:hAnsi="Arial" w:cs="Arial"/>
        </w:rPr>
        <w:t>verificar no gráfico VII que segue:</w:t>
      </w:r>
    </w:p>
    <w:p w:rsidR="00ED3C49" w:rsidRPr="00C01DA5" w:rsidRDefault="00ED3C49" w:rsidP="00DF5ADC">
      <w:pPr>
        <w:spacing w:after="100" w:afterAutospacing="1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9F47EF" w:rsidRPr="00C01DA5" w:rsidRDefault="009F47EF" w:rsidP="00E84BF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:rsidR="009F47EF" w:rsidRPr="00C01DA5" w:rsidRDefault="009F47EF" w:rsidP="00E84BF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:rsidR="009F47EF" w:rsidRPr="00C01DA5" w:rsidRDefault="009F47EF" w:rsidP="00E84BF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:rsidR="009F47EF" w:rsidRPr="00C01DA5" w:rsidRDefault="009F47EF" w:rsidP="00E84BF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:rsidR="009F47EF" w:rsidRPr="00C01DA5" w:rsidRDefault="009F47EF" w:rsidP="00E84BF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:rsidR="009F47EF" w:rsidRPr="00C01DA5" w:rsidRDefault="009F47EF" w:rsidP="00E84BF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:rsidR="009F47EF" w:rsidRPr="00C01DA5" w:rsidRDefault="009F47EF" w:rsidP="00E84BF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:rsidR="009F47EF" w:rsidRPr="00C01DA5" w:rsidRDefault="009F47EF" w:rsidP="00E84BF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:rsidR="009F47EF" w:rsidRPr="00C01DA5" w:rsidRDefault="009F47EF" w:rsidP="00E84BF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</w:p>
    <w:p w:rsidR="00BF78F4" w:rsidRPr="00B252BA" w:rsidRDefault="00BF78F4" w:rsidP="00E84BF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252BA">
        <w:rPr>
          <w:rFonts w:ascii="Arial" w:eastAsia="Calibri" w:hAnsi="Arial" w:cs="Arial"/>
          <w:b/>
          <w:sz w:val="20"/>
          <w:szCs w:val="20"/>
        </w:rPr>
        <w:lastRenderedPageBreak/>
        <w:t>GRÁFICO VII</w:t>
      </w:r>
      <w:r w:rsidRPr="00B252BA">
        <w:rPr>
          <w:rFonts w:ascii="Arial" w:eastAsia="Calibri" w:hAnsi="Arial" w:cs="Arial"/>
          <w:sz w:val="20"/>
          <w:szCs w:val="20"/>
        </w:rPr>
        <w:t>: Variação comportamental da Dívid</w:t>
      </w:r>
      <w:r w:rsidR="00E84BFF" w:rsidRPr="00B252BA">
        <w:rPr>
          <w:rFonts w:ascii="Arial" w:eastAsia="Calibri" w:hAnsi="Arial" w:cs="Arial"/>
          <w:sz w:val="20"/>
          <w:szCs w:val="20"/>
        </w:rPr>
        <w:t>a Consolidada Líquida, Camaçari, 2014.</w:t>
      </w:r>
    </w:p>
    <w:p w:rsidR="007B62C8" w:rsidRDefault="00366D95" w:rsidP="003867D9">
      <w:pPr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  <w:noProof/>
        </w:rPr>
        <w:drawing>
          <wp:inline distT="0" distB="0" distL="0" distR="0">
            <wp:extent cx="5760720" cy="2289600"/>
            <wp:effectExtent l="19050" t="0" r="11430" b="0"/>
            <wp:docPr id="10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7B62C8" w:rsidRPr="00C01DA5">
        <w:rPr>
          <w:rFonts w:ascii="Arial" w:hAnsi="Arial" w:cs="Arial"/>
          <w:sz w:val="20"/>
          <w:szCs w:val="20"/>
        </w:rPr>
        <w:t xml:space="preserve"> </w:t>
      </w:r>
      <w:r w:rsidR="007B62C8" w:rsidRPr="00B252BA">
        <w:rPr>
          <w:rFonts w:ascii="Arial" w:hAnsi="Arial" w:cs="Arial"/>
          <w:b/>
          <w:sz w:val="20"/>
          <w:szCs w:val="20"/>
        </w:rPr>
        <w:t>Fonte</w:t>
      </w:r>
      <w:r w:rsidR="007B62C8" w:rsidRPr="00C01DA5">
        <w:rPr>
          <w:rFonts w:ascii="Arial" w:hAnsi="Arial" w:cs="Arial"/>
          <w:sz w:val="20"/>
          <w:szCs w:val="20"/>
        </w:rPr>
        <w:t>: Elaborado pelos autores</w:t>
      </w:r>
      <w:r w:rsidR="00E84BFF" w:rsidRPr="00C01DA5">
        <w:rPr>
          <w:rFonts w:ascii="Arial" w:hAnsi="Arial" w:cs="Arial"/>
          <w:sz w:val="20"/>
          <w:szCs w:val="20"/>
        </w:rPr>
        <w:t>, 2014.</w:t>
      </w:r>
    </w:p>
    <w:p w:rsidR="00C858F1" w:rsidRPr="00C01DA5" w:rsidRDefault="00C858F1" w:rsidP="003867D9">
      <w:pPr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</w:p>
    <w:p w:rsidR="00FC7081" w:rsidRPr="00C01DA5" w:rsidRDefault="00FC7081" w:rsidP="00D72C94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>Já o gr</w:t>
      </w:r>
      <w:r w:rsidR="00B35920" w:rsidRPr="00C01DA5">
        <w:rPr>
          <w:rFonts w:ascii="Arial" w:hAnsi="Arial" w:cs="Arial"/>
        </w:rPr>
        <w:t>áfico VIII, t</w:t>
      </w:r>
      <w:r w:rsidR="00EE0846" w:rsidRPr="00C01DA5">
        <w:rPr>
          <w:rFonts w:ascii="Arial" w:hAnsi="Arial" w:cs="Arial"/>
        </w:rPr>
        <w:t>raz a razão DCL/RCL onde é possível</w:t>
      </w:r>
      <w:r w:rsidR="00B35920" w:rsidRPr="00C01DA5">
        <w:rPr>
          <w:rFonts w:ascii="Arial" w:hAnsi="Arial" w:cs="Arial"/>
        </w:rPr>
        <w:t xml:space="preserve"> perceber que Camaçari se manteve durante todo o período (2006 a 2013) dentro dos limites legais impostos pela LRF, mas se comparado com Feira de</w:t>
      </w:r>
      <w:r w:rsidR="00EE0846" w:rsidRPr="00C01DA5">
        <w:rPr>
          <w:rFonts w:ascii="Arial" w:hAnsi="Arial" w:cs="Arial"/>
        </w:rPr>
        <w:t xml:space="preserve"> Santana por exemplo, nota-se ainda</w:t>
      </w:r>
      <w:r w:rsidR="00B35920" w:rsidRPr="00C01DA5">
        <w:rPr>
          <w:rFonts w:ascii="Arial" w:hAnsi="Arial" w:cs="Arial"/>
        </w:rPr>
        <w:t xml:space="preserve"> que os índices de comprometimento da Receita Corrente Líquida são maiores.</w:t>
      </w:r>
    </w:p>
    <w:p w:rsidR="00B35920" w:rsidRDefault="00B35920" w:rsidP="00D72C94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>Vale acrescentar que o município de Camaçari veio reduzindo o índice DCL/RCL desde</w:t>
      </w:r>
      <w:r w:rsidR="00EE0846" w:rsidRPr="00C01DA5">
        <w:rPr>
          <w:rFonts w:ascii="Arial" w:hAnsi="Arial" w:cs="Arial"/>
        </w:rPr>
        <w:t xml:space="preserve"> 2010, e que em 2013 encontra-se</w:t>
      </w:r>
      <w:r w:rsidRPr="00C01DA5">
        <w:rPr>
          <w:rFonts w:ascii="Arial" w:hAnsi="Arial" w:cs="Arial"/>
        </w:rPr>
        <w:t xml:space="preserve"> o menor índice do período em análise, 42,09%, como descreve o gráfico VIII a seguir:</w:t>
      </w:r>
    </w:p>
    <w:p w:rsidR="00D72C94" w:rsidRPr="00C01DA5" w:rsidRDefault="00D72C94" w:rsidP="00D72C9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7B62C8" w:rsidRPr="00C01DA5" w:rsidRDefault="0067031B" w:rsidP="00D72C94">
      <w:pPr>
        <w:rPr>
          <w:rFonts w:ascii="Arial" w:hAnsi="Arial" w:cs="Arial"/>
          <w:sz w:val="20"/>
          <w:szCs w:val="20"/>
        </w:rPr>
      </w:pPr>
      <w:r w:rsidRPr="00D72C94">
        <w:rPr>
          <w:rFonts w:ascii="Arial" w:eastAsia="Calibri" w:hAnsi="Arial" w:cs="Arial"/>
          <w:b/>
          <w:sz w:val="20"/>
          <w:szCs w:val="20"/>
        </w:rPr>
        <w:t>GRÁFICO VIII</w:t>
      </w:r>
      <w:r w:rsidRPr="00D72C94">
        <w:rPr>
          <w:rFonts w:ascii="Arial" w:eastAsia="Calibri" w:hAnsi="Arial" w:cs="Arial"/>
          <w:sz w:val="20"/>
          <w:szCs w:val="20"/>
        </w:rPr>
        <w:t>: Razão entre Dívida Consolidada Líqu</w:t>
      </w:r>
      <w:r w:rsidR="00E84BFF" w:rsidRPr="00D72C94">
        <w:rPr>
          <w:rFonts w:ascii="Arial" w:eastAsia="Calibri" w:hAnsi="Arial" w:cs="Arial"/>
          <w:sz w:val="20"/>
          <w:szCs w:val="20"/>
        </w:rPr>
        <w:t xml:space="preserve">ida e Receita Corrente </w:t>
      </w:r>
      <w:r w:rsidR="00D4506E" w:rsidRPr="00D72C94">
        <w:rPr>
          <w:rFonts w:ascii="Arial" w:eastAsia="Calibri" w:hAnsi="Arial" w:cs="Arial"/>
          <w:sz w:val="20"/>
          <w:szCs w:val="20"/>
        </w:rPr>
        <w:t>Líquida,</w:t>
      </w:r>
      <w:r w:rsidR="00E84BFF" w:rsidRPr="00D72C94">
        <w:rPr>
          <w:rFonts w:ascii="Arial" w:eastAsia="Calibri" w:hAnsi="Arial" w:cs="Arial"/>
          <w:sz w:val="20"/>
          <w:szCs w:val="20"/>
        </w:rPr>
        <w:t>Camaçari, 2014</w:t>
      </w:r>
      <w:r w:rsidR="00E84BFF" w:rsidRPr="00C01DA5">
        <w:rPr>
          <w:rFonts w:ascii="Arial" w:eastAsia="Calibri" w:hAnsi="Arial" w:cs="Arial"/>
        </w:rPr>
        <w:t xml:space="preserve"> </w:t>
      </w:r>
      <w:r w:rsidR="00366D95" w:rsidRPr="00C01DA5">
        <w:rPr>
          <w:rFonts w:ascii="Arial" w:hAnsi="Arial" w:cs="Arial"/>
          <w:noProof/>
        </w:rPr>
        <w:drawing>
          <wp:inline distT="0" distB="0" distL="0" distR="0">
            <wp:extent cx="5772150" cy="2289600"/>
            <wp:effectExtent l="19050" t="19050" r="19050" b="15450"/>
            <wp:docPr id="1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"/>
                    <pic:cNvPicPr>
                      <a:picLocks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28960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06322A" w:rsidRPr="00C01DA5">
        <w:rPr>
          <w:rFonts w:ascii="Arial" w:hAnsi="Arial" w:cs="Arial"/>
          <w:sz w:val="20"/>
          <w:szCs w:val="20"/>
        </w:rPr>
        <w:t xml:space="preserve"> </w:t>
      </w:r>
      <w:r w:rsidR="0006322A" w:rsidRPr="009015DC">
        <w:rPr>
          <w:rFonts w:ascii="Arial" w:hAnsi="Arial" w:cs="Arial"/>
          <w:b/>
          <w:sz w:val="20"/>
          <w:szCs w:val="20"/>
        </w:rPr>
        <w:t>Fonte</w:t>
      </w:r>
      <w:r w:rsidR="0006322A" w:rsidRPr="00C01DA5">
        <w:rPr>
          <w:rFonts w:ascii="Arial" w:hAnsi="Arial" w:cs="Arial"/>
          <w:sz w:val="20"/>
          <w:szCs w:val="20"/>
        </w:rPr>
        <w:t>: Elaborado pelos autores</w:t>
      </w:r>
      <w:r w:rsidR="00E84BFF" w:rsidRPr="00C01DA5">
        <w:rPr>
          <w:rFonts w:ascii="Arial" w:hAnsi="Arial" w:cs="Arial"/>
          <w:sz w:val="20"/>
          <w:szCs w:val="20"/>
        </w:rPr>
        <w:t>, 2014.</w:t>
      </w:r>
    </w:p>
    <w:p w:rsidR="00E70A2A" w:rsidRPr="00C01DA5" w:rsidRDefault="00E70A2A" w:rsidP="00E70A2A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E70A2A" w:rsidRPr="00C01DA5" w:rsidRDefault="00E70A2A" w:rsidP="00E70A2A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9F47EF" w:rsidRPr="00C01DA5" w:rsidRDefault="009F47EF" w:rsidP="00E70A2A">
      <w:pPr>
        <w:jc w:val="both"/>
        <w:rPr>
          <w:rFonts w:ascii="Arial" w:eastAsia="Calibri" w:hAnsi="Arial" w:cs="Arial"/>
          <w:b/>
        </w:rPr>
      </w:pPr>
    </w:p>
    <w:p w:rsidR="009F47EF" w:rsidRPr="00C01DA5" w:rsidRDefault="009F47EF" w:rsidP="00E70A2A">
      <w:pPr>
        <w:jc w:val="both"/>
        <w:rPr>
          <w:rFonts w:ascii="Arial" w:eastAsia="Calibri" w:hAnsi="Arial" w:cs="Arial"/>
          <w:b/>
        </w:rPr>
      </w:pPr>
    </w:p>
    <w:p w:rsidR="009F47EF" w:rsidRPr="00C01DA5" w:rsidRDefault="009F47EF" w:rsidP="00E70A2A">
      <w:pPr>
        <w:jc w:val="both"/>
        <w:rPr>
          <w:rFonts w:ascii="Arial" w:eastAsia="Calibri" w:hAnsi="Arial" w:cs="Arial"/>
          <w:b/>
        </w:rPr>
      </w:pPr>
    </w:p>
    <w:p w:rsidR="007B62C8" w:rsidRPr="00C858F1" w:rsidRDefault="00CA54E4" w:rsidP="00E70A2A">
      <w:pPr>
        <w:jc w:val="both"/>
        <w:rPr>
          <w:rFonts w:ascii="Arial" w:eastAsia="Calibri" w:hAnsi="Arial" w:cs="Arial"/>
          <w:sz w:val="20"/>
          <w:szCs w:val="20"/>
        </w:rPr>
      </w:pPr>
      <w:r w:rsidRPr="00C858F1">
        <w:rPr>
          <w:rFonts w:ascii="Arial" w:eastAsia="Calibri" w:hAnsi="Arial" w:cs="Arial"/>
          <w:b/>
          <w:sz w:val="20"/>
          <w:szCs w:val="20"/>
        </w:rPr>
        <w:lastRenderedPageBreak/>
        <w:t>TABELA IV</w:t>
      </w:r>
      <w:r w:rsidRPr="00C858F1">
        <w:rPr>
          <w:rFonts w:ascii="Arial" w:eastAsia="Calibri" w:hAnsi="Arial" w:cs="Arial"/>
          <w:sz w:val="20"/>
          <w:szCs w:val="20"/>
        </w:rPr>
        <w:t>: Composição percentual de aplicação de recursos,</w:t>
      </w:r>
      <w:r w:rsidR="00E84BFF" w:rsidRPr="00C858F1">
        <w:rPr>
          <w:rFonts w:ascii="Arial" w:eastAsia="Calibri" w:hAnsi="Arial" w:cs="Arial"/>
          <w:sz w:val="20"/>
          <w:szCs w:val="20"/>
        </w:rPr>
        <w:t xml:space="preserve"> entre 2006 à 2013, em Camaçari, 2014.</w:t>
      </w:r>
    </w:p>
    <w:p w:rsidR="00671A2D" w:rsidRPr="00C01DA5" w:rsidRDefault="00366D95" w:rsidP="00CA54E4">
      <w:pPr>
        <w:spacing w:after="100" w:afterAutospacing="1"/>
        <w:jc w:val="both"/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  <w:noProof/>
        </w:rPr>
        <w:drawing>
          <wp:inline distT="0" distB="0" distL="0" distR="0">
            <wp:extent cx="5753100" cy="3028950"/>
            <wp:effectExtent l="1905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54E4" w:rsidRPr="00C01DA5">
        <w:rPr>
          <w:rFonts w:ascii="Arial" w:hAnsi="Arial" w:cs="Arial"/>
          <w:sz w:val="20"/>
          <w:szCs w:val="20"/>
        </w:rPr>
        <w:t xml:space="preserve"> </w:t>
      </w:r>
      <w:r w:rsidR="00CA54E4" w:rsidRPr="00C858F1">
        <w:rPr>
          <w:rFonts w:ascii="Arial" w:hAnsi="Arial" w:cs="Arial"/>
          <w:b/>
          <w:sz w:val="20"/>
          <w:szCs w:val="20"/>
        </w:rPr>
        <w:t>Fonte</w:t>
      </w:r>
      <w:r w:rsidR="00CA54E4" w:rsidRPr="00C01DA5">
        <w:rPr>
          <w:rFonts w:ascii="Arial" w:hAnsi="Arial" w:cs="Arial"/>
          <w:sz w:val="20"/>
          <w:szCs w:val="20"/>
        </w:rPr>
        <w:t>: Elaborado pelos autores</w:t>
      </w:r>
      <w:r w:rsidR="00865F61" w:rsidRPr="00C01DA5">
        <w:rPr>
          <w:rFonts w:ascii="Arial" w:hAnsi="Arial" w:cs="Arial"/>
          <w:sz w:val="20"/>
          <w:szCs w:val="20"/>
        </w:rPr>
        <w:t>, 2014.</w:t>
      </w:r>
    </w:p>
    <w:p w:rsidR="00CA54E4" w:rsidRPr="00C858F1" w:rsidRDefault="00CA54E4" w:rsidP="00C858F1">
      <w:pPr>
        <w:jc w:val="both"/>
        <w:rPr>
          <w:rFonts w:ascii="Arial" w:hAnsi="Arial" w:cs="Arial"/>
          <w:sz w:val="16"/>
          <w:szCs w:val="16"/>
        </w:rPr>
      </w:pPr>
      <w:r w:rsidRPr="00C858F1">
        <w:rPr>
          <w:rFonts w:ascii="Arial" w:hAnsi="Arial" w:cs="Arial"/>
          <w:sz w:val="16"/>
          <w:szCs w:val="16"/>
        </w:rPr>
        <w:t>*Representa a aplicação nas Funções: Legislativa, Judiciária, Essencial à Justiça, Administração, Segurança Pública, Assistência Social, Previdência Social, Trabalho, Cultura, Direitos da Cidadania, Urbanismo, Habitação, Saneamento, Gestão Ambiental, Industria, Comércio e Serviços, Comunicações, Transporte e Desporto e Lazer.</w:t>
      </w:r>
    </w:p>
    <w:p w:rsidR="00C858F1" w:rsidRDefault="00C858F1" w:rsidP="00C858F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71A2D" w:rsidRPr="00C01DA5" w:rsidRDefault="00CA54E4" w:rsidP="002157A4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>A tabela IV nos permite observar a composição da despesa do mun</w:t>
      </w:r>
      <w:r w:rsidR="00EE0846" w:rsidRPr="00C01DA5">
        <w:rPr>
          <w:rFonts w:ascii="Arial" w:hAnsi="Arial" w:cs="Arial"/>
        </w:rPr>
        <w:t>icípio de Camaçari, onde pode-se</w:t>
      </w:r>
      <w:r w:rsidRPr="00C01DA5">
        <w:rPr>
          <w:rFonts w:ascii="Arial" w:hAnsi="Arial" w:cs="Arial"/>
        </w:rPr>
        <w:t xml:space="preserve"> verificar que </w:t>
      </w:r>
      <w:r w:rsidR="00671A2D" w:rsidRPr="00C01DA5">
        <w:rPr>
          <w:rFonts w:ascii="Arial" w:hAnsi="Arial" w:cs="Arial"/>
        </w:rPr>
        <w:t>o</w:t>
      </w:r>
      <w:r w:rsidRPr="00C01DA5">
        <w:rPr>
          <w:rFonts w:ascii="Arial" w:hAnsi="Arial" w:cs="Arial"/>
        </w:rPr>
        <w:t xml:space="preserve">s </w:t>
      </w:r>
      <w:r w:rsidR="00671A2D" w:rsidRPr="00C01DA5">
        <w:rPr>
          <w:rFonts w:ascii="Arial" w:hAnsi="Arial" w:cs="Arial"/>
        </w:rPr>
        <w:t>gastos</w:t>
      </w:r>
      <w:r w:rsidRPr="00C01DA5">
        <w:rPr>
          <w:rFonts w:ascii="Arial" w:hAnsi="Arial" w:cs="Arial"/>
        </w:rPr>
        <w:t xml:space="preserve"> com juros e amortização representou em média no período </w:t>
      </w:r>
      <w:r w:rsidR="00671A2D" w:rsidRPr="00C01DA5">
        <w:rPr>
          <w:rFonts w:ascii="Arial" w:hAnsi="Arial" w:cs="Arial"/>
        </w:rPr>
        <w:t>4,73% do total da despesa do período. Sendo que 2009 foi o ano onde os gastos com a dívida foi mais significativo, alcançando 5,36% do total.</w:t>
      </w:r>
    </w:p>
    <w:p w:rsidR="00CA54E4" w:rsidRPr="00C01DA5" w:rsidRDefault="00671A2D" w:rsidP="002157A4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>Vale acrescentar, que em comparação com outros municípios baianos de porte semelhante, Camaçari foi o que apresentou maior capacidade de investir em outras funções como: urbanismo, saneamento, cultura e etc. Pois o gasto com demais Despesas alcançou 58,30% do total.</w:t>
      </w:r>
    </w:p>
    <w:p w:rsidR="004B76BD" w:rsidRPr="00C01DA5" w:rsidRDefault="00787E9C" w:rsidP="002157A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</w:rPr>
        <w:t>Desta forma</w:t>
      </w:r>
      <w:r w:rsidR="004B76BD" w:rsidRPr="00C01DA5">
        <w:rPr>
          <w:rFonts w:ascii="Arial" w:hAnsi="Arial" w:cs="Arial"/>
        </w:rPr>
        <w:t xml:space="preserve"> concluir</w:t>
      </w:r>
      <w:r w:rsidRPr="00C01DA5">
        <w:rPr>
          <w:rFonts w:ascii="Arial" w:hAnsi="Arial" w:cs="Arial"/>
        </w:rPr>
        <w:t>-se</w:t>
      </w:r>
      <w:r w:rsidR="004B76BD" w:rsidRPr="00C01DA5">
        <w:rPr>
          <w:rFonts w:ascii="Arial" w:hAnsi="Arial" w:cs="Arial"/>
        </w:rPr>
        <w:t xml:space="preserve"> que Camaçari, tem um nível de endividamento</w:t>
      </w:r>
      <w:r w:rsidR="000523C8" w:rsidRPr="00C01DA5">
        <w:rPr>
          <w:rFonts w:ascii="Arial" w:hAnsi="Arial" w:cs="Arial"/>
        </w:rPr>
        <w:t xml:space="preserve"> estável e que o comprometimento da RCL encontra-se bem abaixo dos limites legais.</w:t>
      </w:r>
    </w:p>
    <w:p w:rsidR="00BF78F4" w:rsidRPr="00C01DA5" w:rsidRDefault="00F25ACE" w:rsidP="002157A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</w:rPr>
        <w:t>O município de Itabuna tem sua Dívida Consolidada Líquida exposta no gr</w:t>
      </w:r>
      <w:r w:rsidR="00787E9C" w:rsidRPr="00C01DA5">
        <w:rPr>
          <w:rFonts w:ascii="Arial" w:hAnsi="Arial" w:cs="Arial"/>
        </w:rPr>
        <w:t>áfico IX, onde percebe-se</w:t>
      </w:r>
      <w:r w:rsidR="00654C47" w:rsidRPr="00C01DA5">
        <w:rPr>
          <w:rFonts w:ascii="Arial" w:hAnsi="Arial" w:cs="Arial"/>
        </w:rPr>
        <w:t xml:space="preserve"> que a dívida manteve um crescimento gradativo até 2010, em 2011 ocorreu uma leve redução no valor da dívida e em 2012 a DCL cresceu 89% alcançando o valor de 354,51, mais do que o triplo do valor encontrado em 2006, os dados de 2013 não estavam disponíveis na base de dados do SISTN.</w:t>
      </w:r>
    </w:p>
    <w:p w:rsidR="00BF78F4" w:rsidRPr="002157A4" w:rsidRDefault="00BF78F4" w:rsidP="00E84BF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57A4">
        <w:rPr>
          <w:rFonts w:ascii="Arial" w:eastAsia="Calibri" w:hAnsi="Arial" w:cs="Arial"/>
          <w:b/>
          <w:sz w:val="20"/>
          <w:szCs w:val="20"/>
        </w:rPr>
        <w:lastRenderedPageBreak/>
        <w:t>GRÁFICO IX</w:t>
      </w:r>
      <w:r w:rsidRPr="002157A4">
        <w:rPr>
          <w:rFonts w:ascii="Arial" w:eastAsia="Calibri" w:hAnsi="Arial" w:cs="Arial"/>
          <w:sz w:val="20"/>
          <w:szCs w:val="20"/>
        </w:rPr>
        <w:t>: Variação comportamental da Dívi</w:t>
      </w:r>
      <w:r w:rsidR="00E84BFF" w:rsidRPr="002157A4">
        <w:rPr>
          <w:rFonts w:ascii="Arial" w:eastAsia="Calibri" w:hAnsi="Arial" w:cs="Arial"/>
          <w:sz w:val="20"/>
          <w:szCs w:val="20"/>
        </w:rPr>
        <w:t>da Consolidada Líquida, Itabuna, 2014.</w:t>
      </w:r>
    </w:p>
    <w:p w:rsidR="007B62C8" w:rsidRPr="00C01DA5" w:rsidRDefault="00366D95" w:rsidP="003867D9">
      <w:pPr>
        <w:spacing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  <w:noProof/>
        </w:rPr>
        <w:drawing>
          <wp:inline distT="0" distB="0" distL="0" distR="0">
            <wp:extent cx="5760720" cy="2289600"/>
            <wp:effectExtent l="19050" t="0" r="11430" b="0"/>
            <wp:docPr id="13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="007B62C8" w:rsidRPr="00C01DA5">
        <w:rPr>
          <w:rFonts w:ascii="Arial" w:hAnsi="Arial" w:cs="Arial"/>
          <w:sz w:val="20"/>
          <w:szCs w:val="20"/>
        </w:rPr>
        <w:t xml:space="preserve"> </w:t>
      </w:r>
      <w:r w:rsidR="007B62C8" w:rsidRPr="002157A4">
        <w:rPr>
          <w:rFonts w:ascii="Arial" w:hAnsi="Arial" w:cs="Arial"/>
          <w:b/>
          <w:sz w:val="20"/>
          <w:szCs w:val="20"/>
        </w:rPr>
        <w:t>Fonte</w:t>
      </w:r>
      <w:r w:rsidR="007B62C8" w:rsidRPr="00C01DA5">
        <w:rPr>
          <w:rFonts w:ascii="Arial" w:hAnsi="Arial" w:cs="Arial"/>
          <w:sz w:val="20"/>
          <w:szCs w:val="20"/>
        </w:rPr>
        <w:t>: Elaborado pelos autores</w:t>
      </w:r>
      <w:r w:rsidR="00E84BFF" w:rsidRPr="00C01DA5">
        <w:rPr>
          <w:rFonts w:ascii="Arial" w:hAnsi="Arial" w:cs="Arial"/>
          <w:sz w:val="20"/>
          <w:szCs w:val="20"/>
        </w:rPr>
        <w:t>, 2014.</w:t>
      </w:r>
    </w:p>
    <w:p w:rsidR="000D25F5" w:rsidRPr="00C01DA5" w:rsidRDefault="000D25F5" w:rsidP="008D5273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>O gráfico X traz a relação DCL/RCL</w:t>
      </w:r>
      <w:r w:rsidR="00787E9C" w:rsidRPr="00C01DA5">
        <w:rPr>
          <w:rFonts w:ascii="Arial" w:hAnsi="Arial" w:cs="Arial"/>
        </w:rPr>
        <w:t xml:space="preserve"> e nele é possível</w:t>
      </w:r>
      <w:r w:rsidR="00FA2D15" w:rsidRPr="00C01DA5">
        <w:rPr>
          <w:rFonts w:ascii="Arial" w:hAnsi="Arial" w:cs="Arial"/>
        </w:rPr>
        <w:t xml:space="preserve"> </w:t>
      </w:r>
      <w:r w:rsidR="00787E9C" w:rsidRPr="00C01DA5">
        <w:rPr>
          <w:rFonts w:ascii="Arial" w:hAnsi="Arial" w:cs="Arial"/>
        </w:rPr>
        <w:t>identificar que</w:t>
      </w:r>
      <w:r w:rsidR="00FA2D15" w:rsidRPr="00C01DA5">
        <w:rPr>
          <w:rFonts w:ascii="Arial" w:hAnsi="Arial" w:cs="Arial"/>
        </w:rPr>
        <w:t xml:space="preserve"> no período de 2006 a 2008 o </w:t>
      </w:r>
      <w:r w:rsidR="007F49E7" w:rsidRPr="00C01DA5">
        <w:rPr>
          <w:rFonts w:ascii="Arial" w:hAnsi="Arial" w:cs="Arial"/>
        </w:rPr>
        <w:t>índice se manteve em praticamente estável, já em 2010 o índice chegou a 110% da RCL, próximo ao limite imposto pela LRF (120%). Em 2011 o razão DCL/RCL foi reduzida a 69,14 de acordo com as informações contábeis.</w:t>
      </w:r>
    </w:p>
    <w:p w:rsidR="007F49E7" w:rsidRPr="00C01DA5" w:rsidRDefault="007F49E7" w:rsidP="008D5273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>Porém o fato que chamou mais atenção foi a relação DC/RCL em 2012 que ultrapassou o limite legal, chegando a um índice de comprometimento da Receita Corrente Líquida de 147,76%. Infelizmente não estavam disponíveis no sítio do SISTN os dados referentes a 2013, que nos permitiria identificar a situação atual da razão.</w:t>
      </w:r>
    </w:p>
    <w:p w:rsidR="0006322A" w:rsidRPr="00C01DA5" w:rsidRDefault="0067031B" w:rsidP="008D5273">
      <w:pPr>
        <w:rPr>
          <w:rFonts w:ascii="Arial" w:hAnsi="Arial" w:cs="Arial"/>
          <w:sz w:val="20"/>
          <w:szCs w:val="20"/>
        </w:rPr>
      </w:pPr>
      <w:r w:rsidRPr="008D5273">
        <w:rPr>
          <w:rFonts w:ascii="Arial" w:eastAsia="Calibri" w:hAnsi="Arial" w:cs="Arial"/>
          <w:b/>
          <w:sz w:val="20"/>
          <w:szCs w:val="20"/>
        </w:rPr>
        <w:t>GRÁFICO X</w:t>
      </w:r>
      <w:r w:rsidRPr="008D5273">
        <w:rPr>
          <w:rFonts w:ascii="Arial" w:eastAsia="Calibri" w:hAnsi="Arial" w:cs="Arial"/>
          <w:sz w:val="20"/>
          <w:szCs w:val="20"/>
        </w:rPr>
        <w:t>: Razão entre Dívida Consolidada Líquida e Re</w:t>
      </w:r>
      <w:r w:rsidR="00865F61" w:rsidRPr="008D5273">
        <w:rPr>
          <w:rFonts w:ascii="Arial" w:eastAsia="Calibri" w:hAnsi="Arial" w:cs="Arial"/>
          <w:sz w:val="20"/>
          <w:szCs w:val="20"/>
        </w:rPr>
        <w:t>ceita Corrente Líquida, Itabuna, 2014.</w:t>
      </w:r>
      <w:r w:rsidR="00366D95" w:rsidRPr="00C01DA5">
        <w:rPr>
          <w:rFonts w:ascii="Arial" w:hAnsi="Arial" w:cs="Arial"/>
          <w:noProof/>
        </w:rPr>
        <w:drawing>
          <wp:inline distT="0" distB="0" distL="0" distR="0">
            <wp:extent cx="5760720" cy="2289600"/>
            <wp:effectExtent l="19050" t="0" r="11430" b="0"/>
            <wp:docPr id="14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="00C527F0" w:rsidRPr="00C01DA5">
        <w:rPr>
          <w:rFonts w:ascii="Arial" w:hAnsi="Arial" w:cs="Arial"/>
          <w:sz w:val="20"/>
          <w:szCs w:val="20"/>
        </w:rPr>
        <w:t xml:space="preserve"> </w:t>
      </w:r>
      <w:r w:rsidR="00C527F0" w:rsidRPr="008D5273">
        <w:rPr>
          <w:rFonts w:ascii="Arial" w:hAnsi="Arial" w:cs="Arial"/>
          <w:b/>
          <w:sz w:val="20"/>
          <w:szCs w:val="20"/>
        </w:rPr>
        <w:t>Fonte</w:t>
      </w:r>
      <w:r w:rsidR="00C527F0" w:rsidRPr="00C01DA5">
        <w:rPr>
          <w:rFonts w:ascii="Arial" w:hAnsi="Arial" w:cs="Arial"/>
          <w:sz w:val="20"/>
          <w:szCs w:val="20"/>
        </w:rPr>
        <w:t>: Elaborado pelos autores</w:t>
      </w:r>
      <w:r w:rsidR="00865F61" w:rsidRPr="00C01DA5">
        <w:rPr>
          <w:rFonts w:ascii="Arial" w:hAnsi="Arial" w:cs="Arial"/>
          <w:sz w:val="20"/>
          <w:szCs w:val="20"/>
        </w:rPr>
        <w:t>, 2014.</w:t>
      </w:r>
    </w:p>
    <w:p w:rsidR="00B856E4" w:rsidRDefault="00B856E4" w:rsidP="00642B2D">
      <w:pPr>
        <w:spacing w:after="100" w:afterAutospacing="1" w:line="360" w:lineRule="auto"/>
        <w:ind w:firstLine="708"/>
        <w:jc w:val="both"/>
        <w:rPr>
          <w:rFonts w:ascii="Arial" w:hAnsi="Arial" w:cs="Arial"/>
        </w:rPr>
      </w:pPr>
    </w:p>
    <w:p w:rsidR="00642B2D" w:rsidRPr="00C01DA5" w:rsidRDefault="00642B2D" w:rsidP="00B856E4">
      <w:pPr>
        <w:spacing w:line="360" w:lineRule="auto"/>
        <w:ind w:firstLine="709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lastRenderedPageBreak/>
        <w:t>A tabela V traz a composição da despesa no município de Itabuna, onde verifica</w:t>
      </w:r>
      <w:r w:rsidR="00787E9C" w:rsidRPr="00C01DA5">
        <w:rPr>
          <w:rFonts w:ascii="Arial" w:hAnsi="Arial" w:cs="Arial"/>
        </w:rPr>
        <w:t>-se</w:t>
      </w:r>
      <w:r w:rsidRPr="00C01DA5">
        <w:rPr>
          <w:rFonts w:ascii="Arial" w:hAnsi="Arial" w:cs="Arial"/>
        </w:rPr>
        <w:t xml:space="preserve"> que, em média, os valores comprometidos com o pagamento de juros e amortização da dívida foi de 5,14%. Com destaque para o ano de 2010 onde representou 6,10%</w:t>
      </w:r>
    </w:p>
    <w:p w:rsidR="00B856E4" w:rsidRDefault="00B856E4" w:rsidP="00E70A2A">
      <w:pPr>
        <w:jc w:val="both"/>
        <w:rPr>
          <w:rFonts w:ascii="Arial" w:eastAsia="Calibri" w:hAnsi="Arial" w:cs="Arial"/>
          <w:b/>
        </w:rPr>
      </w:pPr>
    </w:p>
    <w:p w:rsidR="00721249" w:rsidRPr="00B856E4" w:rsidRDefault="00721249" w:rsidP="00E70A2A">
      <w:pPr>
        <w:jc w:val="both"/>
        <w:rPr>
          <w:rFonts w:ascii="Arial" w:eastAsia="Calibri" w:hAnsi="Arial" w:cs="Arial"/>
          <w:sz w:val="20"/>
          <w:szCs w:val="20"/>
        </w:rPr>
      </w:pPr>
      <w:r w:rsidRPr="00B856E4">
        <w:rPr>
          <w:rFonts w:ascii="Arial" w:eastAsia="Calibri" w:hAnsi="Arial" w:cs="Arial"/>
          <w:b/>
          <w:sz w:val="20"/>
          <w:szCs w:val="20"/>
        </w:rPr>
        <w:t>TABELA V</w:t>
      </w:r>
      <w:r w:rsidRPr="00B856E4">
        <w:rPr>
          <w:rFonts w:ascii="Arial" w:eastAsia="Calibri" w:hAnsi="Arial" w:cs="Arial"/>
          <w:sz w:val="20"/>
          <w:szCs w:val="20"/>
        </w:rPr>
        <w:t>: Composição percentual de aplicação de recursos</w:t>
      </w:r>
      <w:r w:rsidR="00E84BFF" w:rsidRPr="00B856E4">
        <w:rPr>
          <w:rFonts w:ascii="Arial" w:eastAsia="Calibri" w:hAnsi="Arial" w:cs="Arial"/>
          <w:sz w:val="20"/>
          <w:szCs w:val="20"/>
        </w:rPr>
        <w:t>, entre 2006 à 2013, em Itabuna, 2014.</w:t>
      </w:r>
    </w:p>
    <w:p w:rsidR="00721249" w:rsidRPr="00C01DA5" w:rsidRDefault="00366D95" w:rsidP="00721249">
      <w:pPr>
        <w:spacing w:after="100" w:afterAutospacing="1"/>
        <w:jc w:val="both"/>
        <w:rPr>
          <w:rFonts w:ascii="Arial" w:hAnsi="Arial" w:cs="Arial"/>
          <w:sz w:val="20"/>
          <w:szCs w:val="20"/>
        </w:rPr>
      </w:pPr>
      <w:r w:rsidRPr="00C01DA5">
        <w:rPr>
          <w:rFonts w:ascii="Arial" w:hAnsi="Arial" w:cs="Arial"/>
          <w:noProof/>
        </w:rPr>
        <w:drawing>
          <wp:inline distT="0" distB="0" distL="0" distR="0">
            <wp:extent cx="5762625" cy="2809875"/>
            <wp:effectExtent l="19050" t="0" r="952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1249" w:rsidRPr="00C01DA5">
        <w:rPr>
          <w:rFonts w:ascii="Arial" w:hAnsi="Arial" w:cs="Arial"/>
          <w:sz w:val="20"/>
          <w:szCs w:val="20"/>
        </w:rPr>
        <w:t xml:space="preserve"> </w:t>
      </w:r>
      <w:r w:rsidR="00721249" w:rsidRPr="00B856E4">
        <w:rPr>
          <w:rFonts w:ascii="Arial" w:hAnsi="Arial" w:cs="Arial"/>
          <w:b/>
          <w:sz w:val="20"/>
          <w:szCs w:val="20"/>
        </w:rPr>
        <w:t>Fonte</w:t>
      </w:r>
      <w:r w:rsidR="00721249" w:rsidRPr="00C01DA5">
        <w:rPr>
          <w:rFonts w:ascii="Arial" w:hAnsi="Arial" w:cs="Arial"/>
          <w:sz w:val="20"/>
          <w:szCs w:val="20"/>
        </w:rPr>
        <w:t>: Elaborado pelos autores</w:t>
      </w:r>
      <w:r w:rsidR="00E84BFF" w:rsidRPr="00C01DA5">
        <w:rPr>
          <w:rFonts w:ascii="Arial" w:hAnsi="Arial" w:cs="Arial"/>
          <w:sz w:val="20"/>
          <w:szCs w:val="20"/>
        </w:rPr>
        <w:t>, 2014.</w:t>
      </w:r>
    </w:p>
    <w:p w:rsidR="00721249" w:rsidRPr="00B856E4" w:rsidRDefault="00721249" w:rsidP="00B856E4">
      <w:pPr>
        <w:jc w:val="both"/>
        <w:rPr>
          <w:rFonts w:ascii="Arial" w:hAnsi="Arial" w:cs="Arial"/>
          <w:sz w:val="16"/>
          <w:szCs w:val="16"/>
        </w:rPr>
      </w:pPr>
      <w:r w:rsidRPr="00B856E4">
        <w:rPr>
          <w:rFonts w:ascii="Arial" w:hAnsi="Arial" w:cs="Arial"/>
          <w:sz w:val="16"/>
          <w:szCs w:val="16"/>
        </w:rPr>
        <w:t>*Representa a aplicação nas Funções: Legislativa, Judiciária, Essencial à Justiça, Administração, Segurança Pública, Assistência Social, Previdência Social, Trabalho, Cultura, Direitos da Cidadania, Urbanismo, Habitação, Saneamento, Gestão Ambiental, Industria, Comércio e Serviços, Comunicações, Transporte e Desporto e Lazer.</w:t>
      </w:r>
    </w:p>
    <w:p w:rsidR="00E70A2A" w:rsidRPr="00945A78" w:rsidRDefault="00E70A2A" w:rsidP="00945A78">
      <w:pPr>
        <w:spacing w:line="360" w:lineRule="auto"/>
        <w:jc w:val="center"/>
        <w:rPr>
          <w:rFonts w:ascii="Arial" w:hAnsi="Arial" w:cs="Arial"/>
          <w:b/>
        </w:rPr>
      </w:pPr>
    </w:p>
    <w:p w:rsidR="00E70A2A" w:rsidRPr="00945A78" w:rsidRDefault="00E70A2A" w:rsidP="00945A78">
      <w:pPr>
        <w:spacing w:line="360" w:lineRule="auto"/>
        <w:jc w:val="center"/>
        <w:rPr>
          <w:rFonts w:ascii="Arial" w:hAnsi="Arial" w:cs="Arial"/>
          <w:b/>
        </w:rPr>
      </w:pPr>
    </w:p>
    <w:p w:rsidR="00AB11DE" w:rsidRPr="00945A78" w:rsidRDefault="00865F61" w:rsidP="00945A78">
      <w:pPr>
        <w:spacing w:line="360" w:lineRule="auto"/>
        <w:rPr>
          <w:rFonts w:ascii="Arial" w:hAnsi="Arial" w:cs="Arial"/>
          <w:b/>
        </w:rPr>
      </w:pPr>
      <w:r w:rsidRPr="00945A78">
        <w:rPr>
          <w:rFonts w:ascii="Arial" w:hAnsi="Arial" w:cs="Arial"/>
          <w:b/>
        </w:rPr>
        <w:t xml:space="preserve">6 </w:t>
      </w:r>
      <w:r w:rsidR="00AB11DE" w:rsidRPr="00945A78">
        <w:rPr>
          <w:rFonts w:ascii="Arial" w:hAnsi="Arial" w:cs="Arial"/>
          <w:b/>
        </w:rPr>
        <w:t>CONSIDERAÇÕES FINAIS</w:t>
      </w:r>
    </w:p>
    <w:p w:rsidR="00945A78" w:rsidRDefault="00945A78" w:rsidP="00945A7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B11DE" w:rsidRPr="00C01DA5" w:rsidRDefault="00AB11DE" w:rsidP="00945A78">
      <w:pPr>
        <w:spacing w:line="360" w:lineRule="auto"/>
        <w:ind w:firstLine="708"/>
        <w:jc w:val="both"/>
        <w:rPr>
          <w:rFonts w:ascii="Arial" w:hAnsi="Arial" w:cs="Arial"/>
        </w:rPr>
      </w:pPr>
      <w:r w:rsidRPr="00945A78">
        <w:rPr>
          <w:rFonts w:ascii="Arial" w:hAnsi="Arial" w:cs="Arial"/>
        </w:rPr>
        <w:t>O modelo de gestão fiscal responsável adotado pelo Brasil, por meio da LRF, caracteriza- se como controle por meio de metas de equilíbrio orçamentário e de limites fiscais, bem como por meio de metas de credibilidade e integridade a serem alcançadas pela transparência. Os efeitos da</w:t>
      </w:r>
      <w:r w:rsidRPr="00C01DA5">
        <w:rPr>
          <w:rFonts w:ascii="Arial" w:hAnsi="Arial" w:cs="Arial"/>
        </w:rPr>
        <w:t xml:space="preserve"> transparência na gestão fiscal dos municípios são de difícil mensuração. Entretanto, as metas de limites fiscais e de equilíbrio orçamentário são mensuráveis pela contabilidade, possibilitando a análise de sua influência no endividamento municipal.</w:t>
      </w:r>
    </w:p>
    <w:p w:rsidR="00AB11DE" w:rsidRPr="00C01DA5" w:rsidRDefault="00AB11DE" w:rsidP="009714FC">
      <w:pPr>
        <w:spacing w:after="100" w:afterAutospacing="1" w:line="360" w:lineRule="auto"/>
        <w:ind w:firstLine="567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Assim, para atingir o objetivo deste estudo, que é analisar se </w:t>
      </w:r>
      <w:r w:rsidR="009714FC" w:rsidRPr="00C01DA5">
        <w:rPr>
          <w:rFonts w:ascii="Arial" w:hAnsi="Arial" w:cs="Arial"/>
        </w:rPr>
        <w:t>o comportamento dos índices de endividamento dos municípios baianos com mais de 200 mil habitantes, após as restrições fiscais impostas pela LRF</w:t>
      </w:r>
      <w:r w:rsidRPr="00C01DA5">
        <w:rPr>
          <w:rFonts w:ascii="Arial" w:hAnsi="Arial" w:cs="Arial"/>
        </w:rPr>
        <w:t xml:space="preserve">, </w:t>
      </w:r>
      <w:r w:rsidR="009714FC" w:rsidRPr="00C01DA5">
        <w:rPr>
          <w:rFonts w:ascii="Arial" w:hAnsi="Arial" w:cs="Arial"/>
        </w:rPr>
        <w:t>utilizou-se dados oficiais, disponíveis no SISTN.</w:t>
      </w:r>
    </w:p>
    <w:p w:rsidR="009714FC" w:rsidRPr="00C01DA5" w:rsidRDefault="009714FC" w:rsidP="009714FC">
      <w:pPr>
        <w:spacing w:after="100" w:afterAutospacing="1" w:line="360" w:lineRule="auto"/>
        <w:ind w:firstLine="567"/>
        <w:jc w:val="both"/>
        <w:rPr>
          <w:rFonts w:ascii="Arial" w:hAnsi="Arial" w:cs="Arial"/>
        </w:rPr>
      </w:pPr>
      <w:r w:rsidRPr="00C01DA5">
        <w:rPr>
          <w:rFonts w:ascii="Arial" w:hAnsi="Arial" w:cs="Arial"/>
        </w:rPr>
        <w:lastRenderedPageBreak/>
        <w:t xml:space="preserve">Portanto foi possível perceber que, dentre os municípios em análise, todos eles com a exceção de Itabuna diminuíram seu nível de endividamento em relação a receita corrente líquida, com destaque para o município de Salvador que reduziu o índice de 88,19% em 2000 para 28,25% em 2013. Itabuna foi o único município que se encontra com o endividamento acima do limite </w:t>
      </w:r>
      <w:r w:rsidR="00DC206B" w:rsidRPr="00C01DA5">
        <w:rPr>
          <w:rFonts w:ascii="Arial" w:hAnsi="Arial" w:cs="Arial"/>
        </w:rPr>
        <w:t>estabelecido pela LRF, estando em 2012, com uma DCL de 147,76% em relação a RCL.</w:t>
      </w:r>
    </w:p>
    <w:p w:rsidR="00057D1E" w:rsidRPr="00945A78" w:rsidRDefault="00057D1E" w:rsidP="00945A78">
      <w:pPr>
        <w:spacing w:line="480" w:lineRule="auto"/>
        <w:jc w:val="center"/>
        <w:rPr>
          <w:rFonts w:ascii="Arial" w:hAnsi="Arial" w:cs="Arial"/>
          <w:b/>
        </w:rPr>
      </w:pPr>
    </w:p>
    <w:p w:rsidR="006C57C2" w:rsidRDefault="005742B1" w:rsidP="00945A78">
      <w:pPr>
        <w:spacing w:line="480" w:lineRule="auto"/>
        <w:jc w:val="center"/>
        <w:rPr>
          <w:rFonts w:ascii="Arial" w:hAnsi="Arial" w:cs="Arial"/>
          <w:b/>
        </w:rPr>
      </w:pPr>
      <w:r w:rsidRPr="00945A78">
        <w:rPr>
          <w:rFonts w:ascii="Arial" w:hAnsi="Arial" w:cs="Arial"/>
          <w:b/>
        </w:rPr>
        <w:t>REFERÊNCIAS</w:t>
      </w:r>
    </w:p>
    <w:p w:rsidR="00945A78" w:rsidRPr="00945A78" w:rsidRDefault="00945A78" w:rsidP="00945A78">
      <w:pPr>
        <w:rPr>
          <w:rFonts w:ascii="Arial" w:hAnsi="Arial" w:cs="Arial"/>
          <w:b/>
        </w:rPr>
      </w:pPr>
    </w:p>
    <w:p w:rsidR="006C57C2" w:rsidRPr="00C01DA5" w:rsidRDefault="006C57C2" w:rsidP="00945A78">
      <w:pPr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BRASIL. Constituição (1988). </w:t>
      </w:r>
      <w:r w:rsidRPr="00C01DA5">
        <w:rPr>
          <w:rFonts w:ascii="Arial" w:hAnsi="Arial" w:cs="Arial"/>
          <w:b/>
        </w:rPr>
        <w:t>Constituição da República Federativa do Brasil</w:t>
      </w:r>
      <w:r w:rsidRPr="00C01DA5">
        <w:rPr>
          <w:rFonts w:ascii="Arial" w:hAnsi="Arial" w:cs="Arial"/>
        </w:rPr>
        <w:t xml:space="preserve">. Brasília: Senado Federal, 1988. </w:t>
      </w:r>
    </w:p>
    <w:p w:rsidR="006C57C2" w:rsidRPr="00C01DA5" w:rsidRDefault="006C57C2" w:rsidP="00945A78">
      <w:pPr>
        <w:rPr>
          <w:rFonts w:ascii="Arial" w:hAnsi="Arial" w:cs="Arial"/>
        </w:rPr>
      </w:pPr>
    </w:p>
    <w:p w:rsidR="006C57C2" w:rsidRPr="00C01DA5" w:rsidRDefault="006C57C2" w:rsidP="00945A78">
      <w:pPr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BRASIL. </w:t>
      </w:r>
      <w:r w:rsidRPr="00C01DA5">
        <w:rPr>
          <w:rFonts w:ascii="Arial" w:hAnsi="Arial" w:cs="Arial"/>
          <w:b/>
        </w:rPr>
        <w:t>Constituição da República Federativa do Brasil (1998).</w:t>
      </w:r>
      <w:r w:rsidRPr="00C01DA5">
        <w:rPr>
          <w:rFonts w:ascii="Arial" w:hAnsi="Arial" w:cs="Arial"/>
        </w:rPr>
        <w:t xml:space="preserve"> Brasília, DF: Senado Federal, Subsecretaria de Edições Técnicas, 2008. </w:t>
      </w:r>
    </w:p>
    <w:p w:rsidR="006C57C2" w:rsidRPr="00C01DA5" w:rsidRDefault="006C57C2" w:rsidP="00945A78">
      <w:pPr>
        <w:rPr>
          <w:rFonts w:ascii="Arial" w:hAnsi="Arial" w:cs="Arial"/>
        </w:rPr>
      </w:pPr>
    </w:p>
    <w:p w:rsidR="006C57C2" w:rsidRPr="00C01DA5" w:rsidRDefault="006C57C2" w:rsidP="00945A78">
      <w:pPr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BRASIL. </w:t>
      </w:r>
      <w:r w:rsidRPr="00945A78">
        <w:rPr>
          <w:rFonts w:ascii="Arial" w:hAnsi="Arial" w:cs="Arial"/>
          <w:b/>
        </w:rPr>
        <w:t>Lei Complementar nº 101, de 4 de maio de 2000</w:t>
      </w:r>
      <w:r w:rsidRPr="00C01DA5">
        <w:rPr>
          <w:rFonts w:ascii="Arial" w:hAnsi="Arial" w:cs="Arial"/>
        </w:rPr>
        <w:t xml:space="preserve">. Estabelece normas de finanças públicas voltadas para a responsabilidade na gestão fiscal e dá outras providências. [on-line]. Disponível em: </w:t>
      </w:r>
      <w:hyperlink r:id="rId29" w:history="1">
        <w:r w:rsidR="00563E5A" w:rsidRPr="00C01DA5">
          <w:rPr>
            <w:rStyle w:val="Hyperlink"/>
            <w:rFonts w:ascii="Arial" w:hAnsi="Arial" w:cs="Arial"/>
          </w:rPr>
          <w:t>www.senado.gov.br</w:t>
        </w:r>
      </w:hyperlink>
      <w:r w:rsidR="00563E5A" w:rsidRPr="00C01DA5">
        <w:rPr>
          <w:rFonts w:ascii="Arial" w:hAnsi="Arial" w:cs="Arial"/>
        </w:rPr>
        <w:t xml:space="preserve"> </w:t>
      </w:r>
      <w:r w:rsidRPr="00C01DA5">
        <w:rPr>
          <w:rFonts w:ascii="Arial" w:hAnsi="Arial" w:cs="Arial"/>
        </w:rPr>
        <w:t xml:space="preserve"> Acesso em: 10 dez. 2013. </w:t>
      </w:r>
    </w:p>
    <w:p w:rsidR="006C57C2" w:rsidRPr="00C01DA5" w:rsidRDefault="006C57C2" w:rsidP="00945A78">
      <w:pPr>
        <w:rPr>
          <w:rFonts w:ascii="Arial" w:hAnsi="Arial" w:cs="Arial"/>
        </w:rPr>
      </w:pPr>
    </w:p>
    <w:p w:rsidR="00563E5A" w:rsidRPr="00C01DA5" w:rsidRDefault="006C57C2" w:rsidP="00945A78">
      <w:pPr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BRASIL. </w:t>
      </w:r>
      <w:r w:rsidRPr="00945A78">
        <w:rPr>
          <w:rFonts w:ascii="Arial" w:hAnsi="Arial" w:cs="Arial"/>
          <w:b/>
        </w:rPr>
        <w:t>Lei de Responsabilidade Fiscal</w:t>
      </w:r>
      <w:r w:rsidRPr="00C01DA5">
        <w:rPr>
          <w:rFonts w:ascii="Arial" w:hAnsi="Arial" w:cs="Arial"/>
        </w:rPr>
        <w:t xml:space="preserve">: (Lei Complementar nº 101, de 04 </w:t>
      </w:r>
      <w:r w:rsidR="00563E5A" w:rsidRPr="00C01DA5">
        <w:rPr>
          <w:rFonts w:ascii="Arial" w:hAnsi="Arial" w:cs="Arial"/>
        </w:rPr>
        <w:t xml:space="preserve">de maio de 2000). Brasília, DF. </w:t>
      </w:r>
      <w:r w:rsidRPr="00C01DA5">
        <w:rPr>
          <w:rFonts w:ascii="Arial" w:hAnsi="Arial" w:cs="Arial"/>
        </w:rPr>
        <w:t xml:space="preserve">TESOURO NACIONAL, BRASIL. (s.d.). Lei de Responsabilidade Fiscal – Cartilha (online). disponível em: </w:t>
      </w:r>
      <w:hyperlink r:id="rId30" w:history="1">
        <w:r w:rsidRPr="00C01DA5">
          <w:rPr>
            <w:rStyle w:val="Hyperlink"/>
            <w:rFonts w:ascii="Arial" w:hAnsi="Arial" w:cs="Arial"/>
          </w:rPr>
          <w:t>www.stn.fazenda.gov.br</w:t>
        </w:r>
      </w:hyperlink>
      <w:r w:rsidRPr="00C01DA5">
        <w:rPr>
          <w:rFonts w:ascii="Arial" w:hAnsi="Arial" w:cs="Arial"/>
        </w:rPr>
        <w:t xml:space="preserve">. </w:t>
      </w:r>
    </w:p>
    <w:p w:rsidR="00B85073" w:rsidRPr="00C01DA5" w:rsidRDefault="00B85073" w:rsidP="00945A78">
      <w:pPr>
        <w:rPr>
          <w:rFonts w:ascii="Arial" w:hAnsi="Arial" w:cs="Arial"/>
        </w:rPr>
      </w:pPr>
    </w:p>
    <w:p w:rsidR="00B85073" w:rsidRPr="00C01DA5" w:rsidRDefault="00B85073" w:rsidP="00945A78">
      <w:pPr>
        <w:rPr>
          <w:rFonts w:ascii="Arial" w:hAnsi="Arial" w:cs="Arial"/>
          <w:bCs/>
          <w:color w:val="000000"/>
          <w:shd w:val="clear" w:color="auto" w:fill="FFFFFF"/>
        </w:rPr>
      </w:pPr>
      <w:r w:rsidRPr="00C01DA5">
        <w:rPr>
          <w:rFonts w:ascii="Arial" w:hAnsi="Arial" w:cs="Arial"/>
          <w:bCs/>
          <w:color w:val="000000"/>
          <w:shd w:val="clear" w:color="auto" w:fill="FFFFFF"/>
        </w:rPr>
        <w:t xml:space="preserve">CORBARI, E. C. </w:t>
      </w:r>
      <w:r w:rsidRPr="00945A78">
        <w:rPr>
          <w:rFonts w:ascii="Arial" w:hAnsi="Arial" w:cs="Arial"/>
          <w:b/>
          <w:bCs/>
          <w:color w:val="000000"/>
          <w:shd w:val="clear" w:color="auto" w:fill="FFFFFF"/>
        </w:rPr>
        <w:t>Grandes municípios brasileiros</w:t>
      </w:r>
      <w:r w:rsidRPr="00C01DA5">
        <w:rPr>
          <w:rFonts w:ascii="Arial" w:hAnsi="Arial" w:cs="Arial"/>
          <w:bCs/>
          <w:color w:val="000000"/>
          <w:shd w:val="clear" w:color="auto" w:fill="FFFFFF"/>
        </w:rPr>
        <w:t>: estrutura do endividamento e impactos da Lei de Responsabilidade Fiscal. 2008. Dissertação (Mestrado em Contabilidade) – Universidade Federal do Paraná, Curitiba.</w:t>
      </w:r>
    </w:p>
    <w:p w:rsidR="00B85073" w:rsidRPr="00C01DA5" w:rsidRDefault="00B85073" w:rsidP="00945A78">
      <w:pPr>
        <w:rPr>
          <w:rFonts w:ascii="Arial" w:hAnsi="Arial" w:cs="Arial"/>
          <w:bCs/>
          <w:color w:val="000000"/>
          <w:shd w:val="clear" w:color="auto" w:fill="FFFFFF"/>
        </w:rPr>
      </w:pPr>
    </w:p>
    <w:p w:rsidR="00B85073" w:rsidRPr="00C01DA5" w:rsidRDefault="00B85073" w:rsidP="00945A78">
      <w:pPr>
        <w:rPr>
          <w:rFonts w:ascii="Arial" w:hAnsi="Arial" w:cs="Arial"/>
          <w:bCs/>
          <w:color w:val="000000"/>
          <w:shd w:val="clear" w:color="auto" w:fill="FFFFFF"/>
        </w:rPr>
      </w:pPr>
      <w:r w:rsidRPr="00C01DA5">
        <w:rPr>
          <w:rFonts w:ascii="Arial" w:hAnsi="Arial" w:cs="Arial"/>
          <w:bCs/>
          <w:color w:val="000000"/>
          <w:shd w:val="clear" w:color="auto" w:fill="FFFFFF"/>
        </w:rPr>
        <w:t xml:space="preserve">COSTA, José Fernandes. </w:t>
      </w:r>
      <w:r w:rsidRPr="00945A78">
        <w:rPr>
          <w:rFonts w:ascii="Arial" w:hAnsi="Arial" w:cs="Arial"/>
          <w:b/>
          <w:bCs/>
          <w:color w:val="000000"/>
          <w:shd w:val="clear" w:color="auto" w:fill="FFFFFF"/>
        </w:rPr>
        <w:t>Reflexos da Lei de Responsabilidade Fiscal no endividamento dos Municípios Brasileiros</w:t>
      </w:r>
      <w:r w:rsidRPr="00C01DA5">
        <w:rPr>
          <w:rFonts w:ascii="Arial" w:hAnsi="Arial" w:cs="Arial"/>
          <w:bCs/>
          <w:color w:val="000000"/>
          <w:shd w:val="clear" w:color="auto" w:fill="FFFFFF"/>
        </w:rPr>
        <w:t xml:space="preserve">. Disponível em: </w:t>
      </w:r>
      <w:hyperlink r:id="rId31" w:history="1">
        <w:r w:rsidRPr="00C01DA5">
          <w:rPr>
            <w:rStyle w:val="Hyperlink"/>
            <w:rFonts w:ascii="Arial" w:hAnsi="Arial" w:cs="Arial"/>
            <w:bCs/>
            <w:shd w:val="clear" w:color="auto" w:fill="FFFFFF"/>
          </w:rPr>
          <w:t>http://www.congressocfc.org.br/hotsite/trabalhos_1/334.pdf</w:t>
        </w:r>
      </w:hyperlink>
      <w:r w:rsidRPr="00C01DA5">
        <w:rPr>
          <w:rFonts w:ascii="Arial" w:hAnsi="Arial" w:cs="Arial"/>
          <w:bCs/>
          <w:color w:val="000000"/>
          <w:shd w:val="clear" w:color="auto" w:fill="FFFFFF"/>
        </w:rPr>
        <w:t xml:space="preserve">  Acesso em: 10 Jan. 2014.</w:t>
      </w:r>
    </w:p>
    <w:p w:rsidR="0033476A" w:rsidRPr="00C01DA5" w:rsidRDefault="0033476A" w:rsidP="00945A78">
      <w:pPr>
        <w:rPr>
          <w:rFonts w:ascii="Arial" w:hAnsi="Arial" w:cs="Arial"/>
          <w:bCs/>
          <w:color w:val="000000"/>
          <w:shd w:val="clear" w:color="auto" w:fill="FFFFFF"/>
        </w:rPr>
      </w:pPr>
    </w:p>
    <w:p w:rsidR="00981E76" w:rsidRPr="00C01DA5" w:rsidRDefault="00981E76" w:rsidP="00945A78">
      <w:pPr>
        <w:rPr>
          <w:rFonts w:ascii="Arial" w:hAnsi="Arial" w:cs="Arial"/>
          <w:bCs/>
          <w:color w:val="000000"/>
          <w:shd w:val="clear" w:color="auto" w:fill="FFFFFF"/>
        </w:rPr>
      </w:pPr>
      <w:r w:rsidRPr="00C01DA5">
        <w:rPr>
          <w:rFonts w:ascii="Arial" w:hAnsi="Arial" w:cs="Arial"/>
          <w:bCs/>
          <w:color w:val="000000"/>
          <w:shd w:val="clear" w:color="auto" w:fill="FFFFFF"/>
        </w:rPr>
        <w:t xml:space="preserve">FERRARI, E. L. </w:t>
      </w:r>
      <w:r w:rsidRPr="00945A78">
        <w:rPr>
          <w:rFonts w:ascii="Arial" w:hAnsi="Arial" w:cs="Arial"/>
          <w:b/>
          <w:bCs/>
          <w:color w:val="000000"/>
          <w:shd w:val="clear" w:color="auto" w:fill="FFFFFF"/>
        </w:rPr>
        <w:t>Análise de balanços</w:t>
      </w:r>
      <w:r w:rsidRPr="00C01DA5">
        <w:rPr>
          <w:rFonts w:ascii="Arial" w:hAnsi="Arial" w:cs="Arial"/>
          <w:bCs/>
          <w:color w:val="000000"/>
          <w:shd w:val="clear" w:color="auto" w:fill="FFFFFF"/>
        </w:rPr>
        <w:t>: análise de demonstrações financeiras. 3. ed. Rio de Janeiro: Elsevier, 2009.</w:t>
      </w:r>
    </w:p>
    <w:p w:rsidR="009F47EF" w:rsidRPr="00C01DA5" w:rsidRDefault="009F47EF" w:rsidP="00945A78">
      <w:pPr>
        <w:rPr>
          <w:rFonts w:ascii="Arial" w:hAnsi="Arial" w:cs="Arial"/>
          <w:bCs/>
          <w:color w:val="000000"/>
          <w:shd w:val="clear" w:color="auto" w:fill="FFFFFF"/>
        </w:rPr>
      </w:pPr>
    </w:p>
    <w:p w:rsidR="009F47EF" w:rsidRPr="00C01DA5" w:rsidRDefault="009F47EF" w:rsidP="00945A78">
      <w:pPr>
        <w:rPr>
          <w:rFonts w:ascii="Arial" w:hAnsi="Arial" w:cs="Arial"/>
          <w:bCs/>
          <w:color w:val="000000"/>
          <w:shd w:val="clear" w:color="auto" w:fill="FFFFFF"/>
        </w:rPr>
      </w:pPr>
      <w:r w:rsidRPr="00C01DA5">
        <w:rPr>
          <w:rFonts w:ascii="Arial" w:hAnsi="Arial" w:cs="Arial"/>
          <w:bCs/>
          <w:color w:val="000000"/>
          <w:shd w:val="clear" w:color="auto" w:fill="FFFFFF"/>
        </w:rPr>
        <w:t xml:space="preserve">FREITAS, Mário Sebastião Nogueira de. Uma releitura do orçamento público sob uma perspectiva histórica. </w:t>
      </w:r>
      <w:r w:rsidRPr="00945A78">
        <w:rPr>
          <w:rFonts w:ascii="Arial" w:hAnsi="Arial" w:cs="Arial"/>
          <w:b/>
          <w:bCs/>
          <w:color w:val="000000"/>
          <w:shd w:val="clear" w:color="auto" w:fill="FFFFFF"/>
        </w:rPr>
        <w:t>Bahia: Análise e Dados</w:t>
      </w:r>
      <w:r w:rsidRPr="00C01DA5">
        <w:rPr>
          <w:rFonts w:ascii="Arial" w:hAnsi="Arial" w:cs="Arial"/>
          <w:bCs/>
          <w:color w:val="000000"/>
          <w:shd w:val="clear" w:color="auto" w:fill="FFFFFF"/>
        </w:rPr>
        <w:t>, v.12, n.4, p.9-24, mar. 2003</w:t>
      </w:r>
    </w:p>
    <w:p w:rsidR="009F47EF" w:rsidRPr="00C01DA5" w:rsidRDefault="009F47EF" w:rsidP="00945A78">
      <w:pPr>
        <w:rPr>
          <w:rFonts w:ascii="Arial" w:hAnsi="Arial" w:cs="Arial"/>
          <w:bCs/>
          <w:color w:val="000000"/>
          <w:shd w:val="clear" w:color="auto" w:fill="FFFFFF"/>
        </w:rPr>
      </w:pPr>
      <w:r w:rsidRPr="00C01DA5">
        <w:rPr>
          <w:rFonts w:ascii="Arial" w:hAnsi="Arial" w:cs="Arial"/>
          <w:bCs/>
          <w:color w:val="000000"/>
          <w:shd w:val="clear" w:color="auto" w:fill="FFFFFF"/>
        </w:rPr>
        <w:t>2968</w:t>
      </w:r>
    </w:p>
    <w:p w:rsidR="00BC6325" w:rsidRPr="00C01DA5" w:rsidRDefault="00BC6325" w:rsidP="00945A78">
      <w:pPr>
        <w:rPr>
          <w:rFonts w:ascii="Arial" w:hAnsi="Arial" w:cs="Arial"/>
        </w:rPr>
      </w:pPr>
    </w:p>
    <w:p w:rsidR="00BC6325" w:rsidRPr="00C01DA5" w:rsidRDefault="00BC6325" w:rsidP="00945A78">
      <w:pPr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GIUBERTI, Ana Carolina. </w:t>
      </w:r>
      <w:r w:rsidRPr="00945A78">
        <w:rPr>
          <w:rFonts w:ascii="Arial" w:hAnsi="Arial" w:cs="Arial"/>
          <w:b/>
        </w:rPr>
        <w:t>Efeitos da lei de responsabilidade fiscal sobre os gastos dos municípios brasileiros</w:t>
      </w:r>
      <w:r w:rsidRPr="00C01DA5">
        <w:rPr>
          <w:rFonts w:ascii="Arial" w:hAnsi="Arial" w:cs="Arial"/>
        </w:rPr>
        <w:t xml:space="preserve">. 2005. Dissertação (Mestrado em Teoria Econômica) - Faculdade de Economia, Administração e Contabilidade, Universidade de São Paulo, São Paulo, 2005. Disponível em: </w:t>
      </w:r>
      <w:hyperlink r:id="rId32" w:history="1">
        <w:r w:rsidRPr="00C01DA5">
          <w:rPr>
            <w:rStyle w:val="Hyperlink"/>
            <w:rFonts w:ascii="Arial" w:hAnsi="Arial" w:cs="Arial"/>
          </w:rPr>
          <w:t>http://www.teses.usp.br/teses/disponiveis/12/12138/tde-06052005-160301/</w:t>
        </w:r>
      </w:hyperlink>
      <w:r w:rsidRPr="00C01DA5">
        <w:rPr>
          <w:rFonts w:ascii="Arial" w:hAnsi="Arial" w:cs="Arial"/>
        </w:rPr>
        <w:t xml:space="preserve">  Acesso em: 2014-02-04.</w:t>
      </w:r>
    </w:p>
    <w:p w:rsidR="00981E76" w:rsidRPr="00C01DA5" w:rsidRDefault="00981E76" w:rsidP="00945A78">
      <w:pPr>
        <w:rPr>
          <w:rFonts w:ascii="Arial" w:hAnsi="Arial" w:cs="Arial"/>
        </w:rPr>
      </w:pPr>
    </w:p>
    <w:p w:rsidR="00981E76" w:rsidRPr="00C01DA5" w:rsidRDefault="00981E76" w:rsidP="00945A78">
      <w:pPr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HOJI, M. </w:t>
      </w:r>
      <w:r w:rsidRPr="00945A78">
        <w:rPr>
          <w:rFonts w:ascii="Arial" w:hAnsi="Arial" w:cs="Arial"/>
          <w:b/>
        </w:rPr>
        <w:t>Administração financeira e orçamentária</w:t>
      </w:r>
      <w:r w:rsidRPr="00C01DA5">
        <w:rPr>
          <w:rFonts w:ascii="Arial" w:hAnsi="Arial" w:cs="Arial"/>
        </w:rPr>
        <w:t xml:space="preserve">: matemática financeira aplicada, estratégias financeira, orçamento empresarial. 9. ed. São Paulo: Atlas, 2010. </w:t>
      </w:r>
    </w:p>
    <w:p w:rsidR="00BC6325" w:rsidRPr="00C01DA5" w:rsidRDefault="00BC6325" w:rsidP="00945A78">
      <w:pPr>
        <w:rPr>
          <w:rFonts w:ascii="Arial" w:hAnsi="Arial" w:cs="Arial"/>
        </w:rPr>
      </w:pPr>
    </w:p>
    <w:p w:rsidR="00B85073" w:rsidRPr="00C01DA5" w:rsidRDefault="00B85073" w:rsidP="00945A78">
      <w:pPr>
        <w:rPr>
          <w:rFonts w:ascii="Arial" w:hAnsi="Arial" w:cs="Arial"/>
          <w:bCs/>
          <w:color w:val="000000"/>
          <w:shd w:val="clear" w:color="auto" w:fill="FFFFFF"/>
        </w:rPr>
      </w:pPr>
      <w:r w:rsidRPr="00C01DA5">
        <w:rPr>
          <w:rFonts w:ascii="Arial" w:hAnsi="Arial" w:cs="Arial"/>
          <w:bCs/>
          <w:color w:val="000000"/>
          <w:shd w:val="clear" w:color="auto" w:fill="FFFFFF"/>
        </w:rPr>
        <w:t>IBGE, em parceria com os Órgãos Estaduais de Estatística, Secretarias Estaduais de Governo e Superintendência da Zona Franca de Manaus – SUFRAM</w:t>
      </w:r>
    </w:p>
    <w:p w:rsidR="00B85073" w:rsidRPr="00C01DA5" w:rsidRDefault="00B85073" w:rsidP="00945A78">
      <w:pPr>
        <w:rPr>
          <w:rFonts w:ascii="Arial" w:hAnsi="Arial" w:cs="Arial"/>
        </w:rPr>
      </w:pPr>
    </w:p>
    <w:p w:rsidR="00B85073" w:rsidRPr="00C01DA5" w:rsidRDefault="00B85073" w:rsidP="00945A78">
      <w:pPr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INHASZ, Juliana. </w:t>
      </w:r>
      <w:r w:rsidRPr="00945A78">
        <w:rPr>
          <w:rFonts w:ascii="Arial" w:hAnsi="Arial" w:cs="Arial"/>
          <w:b/>
        </w:rPr>
        <w:t>Dinâmica ótima da dívida pública</w:t>
      </w:r>
      <w:r w:rsidRPr="00C01DA5">
        <w:rPr>
          <w:rFonts w:ascii="Arial" w:hAnsi="Arial" w:cs="Arial"/>
        </w:rPr>
        <w:t xml:space="preserve">. 2013. Tese (Doutorado em Teoria Econômica) - Faculdade de Economia, Administração e Contabilidade, Universidade de São Paulo, São Paulo, 2013. Disponível em: </w:t>
      </w:r>
      <w:hyperlink r:id="rId33" w:history="1">
        <w:r w:rsidRPr="00C01DA5">
          <w:rPr>
            <w:rStyle w:val="Hyperlink"/>
            <w:rFonts w:ascii="Arial" w:hAnsi="Arial" w:cs="Arial"/>
          </w:rPr>
          <w:t>http://www.teses.usp.br/teses/disponiveis/12/12138/tde-13012014-112630</w:t>
        </w:r>
      </w:hyperlink>
      <w:r w:rsidRPr="00C01DA5">
        <w:rPr>
          <w:rFonts w:ascii="Arial" w:hAnsi="Arial" w:cs="Arial"/>
        </w:rPr>
        <w:t>.  Acesso em: 2014-02-04.</w:t>
      </w:r>
    </w:p>
    <w:p w:rsidR="00B85073" w:rsidRPr="00C01DA5" w:rsidRDefault="00B85073" w:rsidP="00945A78">
      <w:pPr>
        <w:rPr>
          <w:rFonts w:ascii="Arial" w:hAnsi="Arial" w:cs="Arial"/>
        </w:rPr>
      </w:pPr>
    </w:p>
    <w:p w:rsidR="00F152A8" w:rsidRPr="00945A78" w:rsidRDefault="00F152A8" w:rsidP="00945A78">
      <w:pPr>
        <w:rPr>
          <w:rFonts w:ascii="Arial" w:hAnsi="Arial" w:cs="Arial"/>
          <w:b/>
        </w:rPr>
      </w:pPr>
      <w:r w:rsidRPr="00C01DA5">
        <w:rPr>
          <w:rFonts w:ascii="Arial" w:hAnsi="Arial" w:cs="Arial"/>
        </w:rPr>
        <w:t xml:space="preserve">SILVA, Antonio Carlos Ribeiro da. </w:t>
      </w:r>
      <w:r w:rsidRPr="00945A78">
        <w:rPr>
          <w:rFonts w:ascii="Arial" w:hAnsi="Arial" w:cs="Arial"/>
          <w:b/>
        </w:rPr>
        <w:t xml:space="preserve">Metodologia da Pesquisa Científica Aplicada à </w:t>
      </w:r>
    </w:p>
    <w:p w:rsidR="006C57C2" w:rsidRPr="00C01DA5" w:rsidRDefault="00F152A8" w:rsidP="00945A78">
      <w:pPr>
        <w:rPr>
          <w:rFonts w:ascii="Arial" w:hAnsi="Arial" w:cs="Arial"/>
        </w:rPr>
      </w:pPr>
      <w:r w:rsidRPr="00945A78">
        <w:rPr>
          <w:rFonts w:ascii="Arial" w:hAnsi="Arial" w:cs="Arial"/>
          <w:b/>
        </w:rPr>
        <w:t>Contabilidade</w:t>
      </w:r>
      <w:r w:rsidRPr="00C01DA5">
        <w:rPr>
          <w:rFonts w:ascii="Arial" w:hAnsi="Arial" w:cs="Arial"/>
        </w:rPr>
        <w:t>. São Paulo: Atlas, 2º edição, 2008.</w:t>
      </w:r>
    </w:p>
    <w:p w:rsidR="00F152A8" w:rsidRPr="00C01DA5" w:rsidRDefault="00F152A8" w:rsidP="00945A78">
      <w:pPr>
        <w:rPr>
          <w:rFonts w:ascii="Arial" w:hAnsi="Arial" w:cs="Arial"/>
        </w:rPr>
      </w:pPr>
    </w:p>
    <w:p w:rsidR="00B85073" w:rsidRPr="00C01DA5" w:rsidRDefault="00B85073" w:rsidP="00945A78">
      <w:pPr>
        <w:autoSpaceDE w:val="0"/>
        <w:autoSpaceDN w:val="0"/>
        <w:adjustRightInd w:val="0"/>
        <w:rPr>
          <w:rFonts w:ascii="Arial" w:hAnsi="Arial" w:cs="Arial"/>
        </w:rPr>
      </w:pPr>
      <w:r w:rsidRPr="00C01DA5">
        <w:rPr>
          <w:rFonts w:ascii="Arial" w:hAnsi="Arial" w:cs="Arial"/>
        </w:rPr>
        <w:t xml:space="preserve">TOLEDO, F. C. &amp; ROSSI, S. C. (2002). </w:t>
      </w:r>
      <w:r w:rsidRPr="00945A78">
        <w:rPr>
          <w:rFonts w:ascii="Arial" w:hAnsi="Arial" w:cs="Arial"/>
          <w:iCs/>
        </w:rPr>
        <w:t xml:space="preserve">Lei </w:t>
      </w:r>
      <w:r w:rsidRPr="00945A78">
        <w:rPr>
          <w:rFonts w:ascii="Arial" w:hAnsi="Arial" w:cs="Arial"/>
          <w:b/>
          <w:iCs/>
        </w:rPr>
        <w:t>de Responsabilidade Fiscal comentada</w:t>
      </w:r>
      <w:r w:rsidRPr="00945A78">
        <w:rPr>
          <w:rFonts w:ascii="Arial" w:hAnsi="Arial" w:cs="Arial"/>
        </w:rPr>
        <w:t>. São</w:t>
      </w:r>
      <w:r w:rsidR="00945A78">
        <w:rPr>
          <w:rFonts w:ascii="Arial" w:hAnsi="Arial" w:cs="Arial"/>
        </w:rPr>
        <w:t xml:space="preserve"> </w:t>
      </w:r>
      <w:r w:rsidRPr="00C01DA5">
        <w:rPr>
          <w:rFonts w:ascii="Arial" w:hAnsi="Arial" w:cs="Arial"/>
        </w:rPr>
        <w:t>Paulo: NDJ.</w:t>
      </w:r>
    </w:p>
    <w:sectPr w:rsidR="00B85073" w:rsidRPr="00C01DA5" w:rsidSect="00780342">
      <w:headerReference w:type="default" r:id="rId34"/>
      <w:footerReference w:type="default" r:id="rId35"/>
      <w:pgSz w:w="11906" w:h="16838" w:code="9"/>
      <w:pgMar w:top="1701" w:right="1134" w:bottom="1134" w:left="1701" w:header="709" w:footer="709" w:gutter="0"/>
      <w:pgNumType w:start="1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CE0" w:rsidRDefault="00134CE0">
      <w:r>
        <w:separator/>
      </w:r>
    </w:p>
  </w:endnote>
  <w:endnote w:type="continuationSeparator" w:id="1">
    <w:p w:rsidR="00134CE0" w:rsidRDefault="00134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11210063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252092508"/>
          <w:docPartObj>
            <w:docPartGallery w:val="Page Numbers (Margins)"/>
            <w:docPartUnique/>
          </w:docPartObj>
        </w:sdtPr>
        <w:sdtContent>
          <w:p w:rsidR="00780342" w:rsidRDefault="00780342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zh-TW"/>
              </w:rPr>
              <w:pict>
                <v:oval id="_x0000_s3073" style="position:absolute;margin-left:0;margin-top:0;width:49.35pt;height:49.35pt;z-index:251660288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780342" w:rsidRDefault="00780342">
                        <w:pPr>
                          <w:pStyle w:val="Rodap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fldSimple w:instr=" PAGE    \* MERGEFORMAT ">
                          <w:r w:rsidR="00AB30A7" w:rsidRPr="00AB30A7">
                            <w:rPr>
                              <w:b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134</w:t>
                          </w:r>
                        </w:fldSimple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780342" w:rsidRDefault="0078034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CE0" w:rsidRDefault="00134CE0">
      <w:r>
        <w:separator/>
      </w:r>
    </w:p>
  </w:footnote>
  <w:footnote w:type="continuationSeparator" w:id="1">
    <w:p w:rsidR="00134CE0" w:rsidRDefault="00134CE0">
      <w:r>
        <w:continuationSeparator/>
      </w:r>
    </w:p>
  </w:footnote>
  <w:footnote w:id="2">
    <w:p w:rsidR="00B03F36" w:rsidRPr="00B03F36" w:rsidRDefault="00B03F36">
      <w:pPr>
        <w:pStyle w:val="Textodenotaderodap"/>
        <w:rPr>
          <w:rFonts w:ascii="Arial" w:hAnsi="Arial" w:cs="Arial"/>
          <w:sz w:val="16"/>
          <w:szCs w:val="16"/>
        </w:rPr>
      </w:pPr>
      <w:r w:rsidRPr="00B03F36">
        <w:rPr>
          <w:rStyle w:val="Refdenotaderodap"/>
          <w:rFonts w:ascii="Arial" w:hAnsi="Arial" w:cs="Arial"/>
          <w:sz w:val="16"/>
          <w:szCs w:val="16"/>
        </w:rPr>
        <w:footnoteRef/>
      </w:r>
      <w:r w:rsidRPr="00B03F36">
        <w:rPr>
          <w:rFonts w:ascii="Arial" w:hAnsi="Arial" w:cs="Arial"/>
          <w:sz w:val="16"/>
          <w:szCs w:val="16"/>
        </w:rPr>
        <w:t xml:space="preserve"> Bacharel em Ciências Contábeis pela Fundação Visconde de Cairu</w:t>
      </w:r>
    </w:p>
  </w:footnote>
  <w:footnote w:id="3">
    <w:p w:rsidR="00B03F36" w:rsidRPr="00B03F36" w:rsidRDefault="00B03F36">
      <w:pPr>
        <w:pStyle w:val="Textodenotaderodap"/>
        <w:rPr>
          <w:rFonts w:ascii="Arial" w:hAnsi="Arial" w:cs="Arial"/>
          <w:sz w:val="16"/>
          <w:szCs w:val="16"/>
        </w:rPr>
      </w:pPr>
      <w:r w:rsidRPr="00B03F36">
        <w:rPr>
          <w:rStyle w:val="Refdenotaderodap"/>
          <w:rFonts w:ascii="Arial" w:hAnsi="Arial" w:cs="Arial"/>
          <w:sz w:val="16"/>
          <w:szCs w:val="16"/>
        </w:rPr>
        <w:footnoteRef/>
      </w:r>
      <w:r w:rsidRPr="00B03F36">
        <w:rPr>
          <w:rFonts w:ascii="Arial" w:hAnsi="Arial" w:cs="Arial"/>
          <w:sz w:val="16"/>
          <w:szCs w:val="16"/>
        </w:rPr>
        <w:t xml:space="preserve"> Bacharel em Ciências Contábeis pela Fundação Visconde de Cairu</w:t>
      </w:r>
    </w:p>
  </w:footnote>
  <w:footnote w:id="4">
    <w:p w:rsidR="00B03F36" w:rsidRDefault="00B03F36">
      <w:pPr>
        <w:pStyle w:val="Textodenotaderodap"/>
      </w:pPr>
      <w:r w:rsidRPr="00B03F36">
        <w:rPr>
          <w:rStyle w:val="Refdenotaderodap"/>
          <w:rFonts w:ascii="Arial" w:hAnsi="Arial" w:cs="Arial"/>
          <w:sz w:val="16"/>
          <w:szCs w:val="16"/>
        </w:rPr>
        <w:footnoteRef/>
      </w:r>
      <w:r w:rsidRPr="00B03F36">
        <w:rPr>
          <w:rFonts w:ascii="Arial" w:hAnsi="Arial" w:cs="Arial"/>
          <w:sz w:val="16"/>
          <w:szCs w:val="16"/>
        </w:rPr>
        <w:t xml:space="preserve"> Professor Orientador da Fundação Visconde de Cairu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F1D" w:rsidRPr="00616F1D" w:rsidRDefault="00616F1D" w:rsidP="00616F1D">
    <w:pPr>
      <w:jc w:val="center"/>
      <w:rPr>
        <w:rFonts w:ascii="Arial" w:hAnsi="Arial" w:cs="Arial"/>
        <w:sz w:val="16"/>
        <w:szCs w:val="16"/>
        <w:lang w:val="en-US"/>
      </w:rPr>
    </w:pPr>
    <w:r w:rsidRPr="002238A0">
      <w:rPr>
        <w:rFonts w:ascii="Arial" w:hAnsi="Arial" w:cs="Arial"/>
        <w:sz w:val="16"/>
        <w:szCs w:val="16"/>
      </w:rPr>
      <w:t xml:space="preserve">Revista de Iniciação Científica – RIC Cairu. </w:t>
    </w:r>
    <w:r w:rsidRPr="00616F1D">
      <w:rPr>
        <w:rFonts w:ascii="Arial" w:hAnsi="Arial" w:cs="Arial"/>
        <w:sz w:val="16"/>
        <w:szCs w:val="16"/>
        <w:lang w:val="en-US"/>
      </w:rPr>
      <w:t>Jan 2015, Vol. 02, n° 01, p.</w:t>
    </w:r>
    <w:r>
      <w:rPr>
        <w:rFonts w:ascii="Arial" w:hAnsi="Arial" w:cs="Arial"/>
        <w:sz w:val="16"/>
        <w:szCs w:val="16"/>
        <w:lang w:val="en-US"/>
      </w:rPr>
      <w:t>113</w:t>
    </w:r>
    <w:r w:rsidRPr="00616F1D">
      <w:rPr>
        <w:rFonts w:ascii="Arial" w:hAnsi="Arial" w:cs="Arial"/>
        <w:sz w:val="16"/>
        <w:szCs w:val="16"/>
        <w:lang w:val="en-US"/>
      </w:rPr>
      <w:t>-</w:t>
    </w:r>
    <w:r w:rsidR="00AB30A7">
      <w:rPr>
        <w:rFonts w:ascii="Arial" w:hAnsi="Arial" w:cs="Arial"/>
        <w:sz w:val="16"/>
        <w:szCs w:val="16"/>
        <w:lang w:val="en-US"/>
      </w:rPr>
      <w:t>134</w:t>
    </w:r>
    <w:r w:rsidRPr="00616F1D">
      <w:rPr>
        <w:rFonts w:ascii="Arial" w:hAnsi="Arial" w:cs="Arial"/>
        <w:sz w:val="16"/>
        <w:szCs w:val="16"/>
        <w:lang w:val="en-US"/>
      </w:rPr>
      <w:t xml:space="preserve"> , ISSN 2258-1166</w:t>
    </w:r>
  </w:p>
  <w:p w:rsidR="00616F1D" w:rsidRPr="00616F1D" w:rsidRDefault="00616F1D">
    <w:pPr>
      <w:pStyle w:val="Cabealho"/>
      <w:rPr>
        <w:lang w:val="en-US"/>
      </w:rPr>
    </w:pPr>
  </w:p>
  <w:p w:rsidR="00616F1D" w:rsidRPr="00616F1D" w:rsidRDefault="00616F1D">
    <w:pPr>
      <w:pStyle w:val="Cabealh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2DA3"/>
    <w:multiLevelType w:val="multilevel"/>
    <w:tmpl w:val="7676E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>
    <w:nsid w:val="1975632A"/>
    <w:multiLevelType w:val="hybridMultilevel"/>
    <w:tmpl w:val="DFEC2150"/>
    <w:lvl w:ilvl="0" w:tplc="001CAE94">
      <w:start w:val="200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064CB"/>
    <w:multiLevelType w:val="hybridMultilevel"/>
    <w:tmpl w:val="687615E6"/>
    <w:lvl w:ilvl="0" w:tplc="8886F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7A2A32"/>
    <w:multiLevelType w:val="hybridMultilevel"/>
    <w:tmpl w:val="687615E6"/>
    <w:lvl w:ilvl="0" w:tplc="8886F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A453D4"/>
    <w:multiLevelType w:val="hybridMultilevel"/>
    <w:tmpl w:val="687615E6"/>
    <w:lvl w:ilvl="0" w:tplc="8886F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9917E93"/>
    <w:multiLevelType w:val="hybridMultilevel"/>
    <w:tmpl w:val="207827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46996"/>
    <w:multiLevelType w:val="multilevel"/>
    <w:tmpl w:val="840E7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75811F48"/>
    <w:multiLevelType w:val="hybridMultilevel"/>
    <w:tmpl w:val="D10C6FEE"/>
    <w:lvl w:ilvl="0" w:tplc="CA1084E6">
      <w:start w:val="1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79" w:hanging="360"/>
      </w:pPr>
    </w:lvl>
    <w:lvl w:ilvl="2" w:tplc="0416001B" w:tentative="1">
      <w:start w:val="1"/>
      <w:numFmt w:val="lowerRoman"/>
      <w:lvlText w:val="%3."/>
      <w:lvlJc w:val="right"/>
      <w:pPr>
        <w:ind w:left="2899" w:hanging="180"/>
      </w:pPr>
    </w:lvl>
    <w:lvl w:ilvl="3" w:tplc="0416000F" w:tentative="1">
      <w:start w:val="1"/>
      <w:numFmt w:val="decimal"/>
      <w:lvlText w:val="%4."/>
      <w:lvlJc w:val="left"/>
      <w:pPr>
        <w:ind w:left="3619" w:hanging="360"/>
      </w:pPr>
    </w:lvl>
    <w:lvl w:ilvl="4" w:tplc="04160019" w:tentative="1">
      <w:start w:val="1"/>
      <w:numFmt w:val="lowerLetter"/>
      <w:lvlText w:val="%5."/>
      <w:lvlJc w:val="left"/>
      <w:pPr>
        <w:ind w:left="4339" w:hanging="360"/>
      </w:pPr>
    </w:lvl>
    <w:lvl w:ilvl="5" w:tplc="0416001B" w:tentative="1">
      <w:start w:val="1"/>
      <w:numFmt w:val="lowerRoman"/>
      <w:lvlText w:val="%6."/>
      <w:lvlJc w:val="right"/>
      <w:pPr>
        <w:ind w:left="5059" w:hanging="180"/>
      </w:pPr>
    </w:lvl>
    <w:lvl w:ilvl="6" w:tplc="0416000F" w:tentative="1">
      <w:start w:val="1"/>
      <w:numFmt w:val="decimal"/>
      <w:lvlText w:val="%7."/>
      <w:lvlJc w:val="left"/>
      <w:pPr>
        <w:ind w:left="5779" w:hanging="360"/>
      </w:pPr>
    </w:lvl>
    <w:lvl w:ilvl="7" w:tplc="04160019" w:tentative="1">
      <w:start w:val="1"/>
      <w:numFmt w:val="lowerLetter"/>
      <w:lvlText w:val="%8."/>
      <w:lvlJc w:val="left"/>
      <w:pPr>
        <w:ind w:left="6499" w:hanging="360"/>
      </w:pPr>
    </w:lvl>
    <w:lvl w:ilvl="8" w:tplc="0416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8">
    <w:nsid w:val="794641E3"/>
    <w:multiLevelType w:val="hybridMultilevel"/>
    <w:tmpl w:val="3C06FF18"/>
    <w:lvl w:ilvl="0" w:tplc="C65A0E7E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366C8D"/>
    <w:rsid w:val="00000AD9"/>
    <w:rsid w:val="00006DAD"/>
    <w:rsid w:val="00031235"/>
    <w:rsid w:val="0003226F"/>
    <w:rsid w:val="00035CD5"/>
    <w:rsid w:val="0003674D"/>
    <w:rsid w:val="00037166"/>
    <w:rsid w:val="00040F4D"/>
    <w:rsid w:val="0004179C"/>
    <w:rsid w:val="00042A8E"/>
    <w:rsid w:val="00050182"/>
    <w:rsid w:val="000523C8"/>
    <w:rsid w:val="000557C4"/>
    <w:rsid w:val="00057D1E"/>
    <w:rsid w:val="0006322A"/>
    <w:rsid w:val="000717BF"/>
    <w:rsid w:val="0007270A"/>
    <w:rsid w:val="000771A5"/>
    <w:rsid w:val="00077427"/>
    <w:rsid w:val="000836AF"/>
    <w:rsid w:val="00087170"/>
    <w:rsid w:val="00087477"/>
    <w:rsid w:val="000A0EC6"/>
    <w:rsid w:val="000B16C8"/>
    <w:rsid w:val="000B76A1"/>
    <w:rsid w:val="000C0F96"/>
    <w:rsid w:val="000C2F00"/>
    <w:rsid w:val="000D25F5"/>
    <w:rsid w:val="000E7B48"/>
    <w:rsid w:val="000F2F6F"/>
    <w:rsid w:val="000F4FAD"/>
    <w:rsid w:val="001014B8"/>
    <w:rsid w:val="001262C3"/>
    <w:rsid w:val="00126C84"/>
    <w:rsid w:val="00134CE0"/>
    <w:rsid w:val="00141F77"/>
    <w:rsid w:val="0014325D"/>
    <w:rsid w:val="00146B53"/>
    <w:rsid w:val="0015694B"/>
    <w:rsid w:val="00175C6F"/>
    <w:rsid w:val="00184FA1"/>
    <w:rsid w:val="001854DC"/>
    <w:rsid w:val="00191F4A"/>
    <w:rsid w:val="001938E7"/>
    <w:rsid w:val="001A2D1B"/>
    <w:rsid w:val="001B4EDE"/>
    <w:rsid w:val="001C52AF"/>
    <w:rsid w:val="001C6C94"/>
    <w:rsid w:val="001D1297"/>
    <w:rsid w:val="001D1E1B"/>
    <w:rsid w:val="001E37A0"/>
    <w:rsid w:val="001F7CB4"/>
    <w:rsid w:val="00205BC1"/>
    <w:rsid w:val="002157A4"/>
    <w:rsid w:val="00215DF7"/>
    <w:rsid w:val="002177F3"/>
    <w:rsid w:val="002240F8"/>
    <w:rsid w:val="00225C81"/>
    <w:rsid w:val="00235F88"/>
    <w:rsid w:val="00237310"/>
    <w:rsid w:val="002431FD"/>
    <w:rsid w:val="00247E2D"/>
    <w:rsid w:val="002522C3"/>
    <w:rsid w:val="0025378F"/>
    <w:rsid w:val="002574E5"/>
    <w:rsid w:val="00260953"/>
    <w:rsid w:val="00261427"/>
    <w:rsid w:val="002635B2"/>
    <w:rsid w:val="00264761"/>
    <w:rsid w:val="002711BE"/>
    <w:rsid w:val="00273800"/>
    <w:rsid w:val="00281973"/>
    <w:rsid w:val="002A3AFE"/>
    <w:rsid w:val="002A7410"/>
    <w:rsid w:val="002B2917"/>
    <w:rsid w:val="002B41C9"/>
    <w:rsid w:val="002C0CC3"/>
    <w:rsid w:val="002D0E5A"/>
    <w:rsid w:val="002D552B"/>
    <w:rsid w:val="002D5E9E"/>
    <w:rsid w:val="002E040B"/>
    <w:rsid w:val="00305916"/>
    <w:rsid w:val="003115DA"/>
    <w:rsid w:val="00314A24"/>
    <w:rsid w:val="00315158"/>
    <w:rsid w:val="003178DC"/>
    <w:rsid w:val="00323EBF"/>
    <w:rsid w:val="003310B5"/>
    <w:rsid w:val="0033476A"/>
    <w:rsid w:val="00335ED6"/>
    <w:rsid w:val="00341606"/>
    <w:rsid w:val="0034648B"/>
    <w:rsid w:val="003545C6"/>
    <w:rsid w:val="00355778"/>
    <w:rsid w:val="0036661C"/>
    <w:rsid w:val="00366C8D"/>
    <w:rsid w:val="00366D95"/>
    <w:rsid w:val="00382293"/>
    <w:rsid w:val="003867D9"/>
    <w:rsid w:val="00386F74"/>
    <w:rsid w:val="00390056"/>
    <w:rsid w:val="00391696"/>
    <w:rsid w:val="003936FD"/>
    <w:rsid w:val="003A16FF"/>
    <w:rsid w:val="003A214D"/>
    <w:rsid w:val="003A2CC8"/>
    <w:rsid w:val="003A574B"/>
    <w:rsid w:val="003B25EE"/>
    <w:rsid w:val="003B7F32"/>
    <w:rsid w:val="003C2628"/>
    <w:rsid w:val="003D1F52"/>
    <w:rsid w:val="003D3354"/>
    <w:rsid w:val="003E22D6"/>
    <w:rsid w:val="004014F5"/>
    <w:rsid w:val="00405516"/>
    <w:rsid w:val="004215B9"/>
    <w:rsid w:val="00421ADC"/>
    <w:rsid w:val="00423B0C"/>
    <w:rsid w:val="00427344"/>
    <w:rsid w:val="004303B1"/>
    <w:rsid w:val="00433E8D"/>
    <w:rsid w:val="00437C53"/>
    <w:rsid w:val="00455CFA"/>
    <w:rsid w:val="0045618E"/>
    <w:rsid w:val="00456F3C"/>
    <w:rsid w:val="0045714A"/>
    <w:rsid w:val="00460AA1"/>
    <w:rsid w:val="00464A09"/>
    <w:rsid w:val="00467D8E"/>
    <w:rsid w:val="004731A4"/>
    <w:rsid w:val="00485F0D"/>
    <w:rsid w:val="00494811"/>
    <w:rsid w:val="004A3703"/>
    <w:rsid w:val="004A5202"/>
    <w:rsid w:val="004A6A3D"/>
    <w:rsid w:val="004A7CBE"/>
    <w:rsid w:val="004B024B"/>
    <w:rsid w:val="004B330F"/>
    <w:rsid w:val="004B76BD"/>
    <w:rsid w:val="004C10B0"/>
    <w:rsid w:val="004C35C9"/>
    <w:rsid w:val="004C61F9"/>
    <w:rsid w:val="004C644B"/>
    <w:rsid w:val="004D65D0"/>
    <w:rsid w:val="004E1043"/>
    <w:rsid w:val="004E1E31"/>
    <w:rsid w:val="004E601E"/>
    <w:rsid w:val="004E6185"/>
    <w:rsid w:val="004F6C91"/>
    <w:rsid w:val="00503A6D"/>
    <w:rsid w:val="00512978"/>
    <w:rsid w:val="00512D27"/>
    <w:rsid w:val="005139A5"/>
    <w:rsid w:val="005158C4"/>
    <w:rsid w:val="00515970"/>
    <w:rsid w:val="00517B9B"/>
    <w:rsid w:val="0052088A"/>
    <w:rsid w:val="00520A0E"/>
    <w:rsid w:val="00544467"/>
    <w:rsid w:val="005469CD"/>
    <w:rsid w:val="00546D3D"/>
    <w:rsid w:val="005473C0"/>
    <w:rsid w:val="005553D3"/>
    <w:rsid w:val="00556E70"/>
    <w:rsid w:val="00563E5A"/>
    <w:rsid w:val="00572A05"/>
    <w:rsid w:val="005742B1"/>
    <w:rsid w:val="005778AE"/>
    <w:rsid w:val="005908B1"/>
    <w:rsid w:val="00593F30"/>
    <w:rsid w:val="005A691B"/>
    <w:rsid w:val="005A7659"/>
    <w:rsid w:val="005D0036"/>
    <w:rsid w:val="005D18B6"/>
    <w:rsid w:val="005D2844"/>
    <w:rsid w:val="005D5763"/>
    <w:rsid w:val="005F3187"/>
    <w:rsid w:val="00601631"/>
    <w:rsid w:val="006017EC"/>
    <w:rsid w:val="006136E8"/>
    <w:rsid w:val="00616F1D"/>
    <w:rsid w:val="00621654"/>
    <w:rsid w:val="00622FB0"/>
    <w:rsid w:val="00627D2F"/>
    <w:rsid w:val="0064011A"/>
    <w:rsid w:val="00642B2D"/>
    <w:rsid w:val="0064537B"/>
    <w:rsid w:val="0064777B"/>
    <w:rsid w:val="00650C65"/>
    <w:rsid w:val="00654C47"/>
    <w:rsid w:val="00655422"/>
    <w:rsid w:val="00655A7E"/>
    <w:rsid w:val="006566A4"/>
    <w:rsid w:val="006605BE"/>
    <w:rsid w:val="006642DC"/>
    <w:rsid w:val="0067031B"/>
    <w:rsid w:val="00671A2D"/>
    <w:rsid w:val="00683D9F"/>
    <w:rsid w:val="00685A01"/>
    <w:rsid w:val="006A13D7"/>
    <w:rsid w:val="006A15E2"/>
    <w:rsid w:val="006A273F"/>
    <w:rsid w:val="006A5127"/>
    <w:rsid w:val="006A74B3"/>
    <w:rsid w:val="006A7E31"/>
    <w:rsid w:val="006B4398"/>
    <w:rsid w:val="006B666E"/>
    <w:rsid w:val="006C379C"/>
    <w:rsid w:val="006C3A64"/>
    <w:rsid w:val="006C57C2"/>
    <w:rsid w:val="006D4AF4"/>
    <w:rsid w:val="006E66EB"/>
    <w:rsid w:val="006F5F4A"/>
    <w:rsid w:val="007039EE"/>
    <w:rsid w:val="0071044D"/>
    <w:rsid w:val="0071553D"/>
    <w:rsid w:val="00721249"/>
    <w:rsid w:val="00722B0E"/>
    <w:rsid w:val="00741600"/>
    <w:rsid w:val="0074161A"/>
    <w:rsid w:val="00746BBB"/>
    <w:rsid w:val="007569F7"/>
    <w:rsid w:val="0076073F"/>
    <w:rsid w:val="00761D98"/>
    <w:rsid w:val="00764D00"/>
    <w:rsid w:val="007650F7"/>
    <w:rsid w:val="007670EC"/>
    <w:rsid w:val="00772B73"/>
    <w:rsid w:val="00772ED2"/>
    <w:rsid w:val="00773366"/>
    <w:rsid w:val="00773F40"/>
    <w:rsid w:val="007748D9"/>
    <w:rsid w:val="00780342"/>
    <w:rsid w:val="007826BA"/>
    <w:rsid w:val="00787E9C"/>
    <w:rsid w:val="0079125F"/>
    <w:rsid w:val="00793BA2"/>
    <w:rsid w:val="007A0113"/>
    <w:rsid w:val="007A138E"/>
    <w:rsid w:val="007A265D"/>
    <w:rsid w:val="007A5627"/>
    <w:rsid w:val="007B59FE"/>
    <w:rsid w:val="007B62C8"/>
    <w:rsid w:val="007C04D8"/>
    <w:rsid w:val="007C07AC"/>
    <w:rsid w:val="007D4253"/>
    <w:rsid w:val="007E7B00"/>
    <w:rsid w:val="007F064F"/>
    <w:rsid w:val="007F49E7"/>
    <w:rsid w:val="008069E9"/>
    <w:rsid w:val="00814A9E"/>
    <w:rsid w:val="00815E2C"/>
    <w:rsid w:val="00817D58"/>
    <w:rsid w:val="008220F8"/>
    <w:rsid w:val="0082439B"/>
    <w:rsid w:val="00825441"/>
    <w:rsid w:val="00826CA3"/>
    <w:rsid w:val="00836674"/>
    <w:rsid w:val="008371AB"/>
    <w:rsid w:val="00840A43"/>
    <w:rsid w:val="0084165E"/>
    <w:rsid w:val="00846241"/>
    <w:rsid w:val="00847492"/>
    <w:rsid w:val="0085492E"/>
    <w:rsid w:val="0085796A"/>
    <w:rsid w:val="0086221C"/>
    <w:rsid w:val="00865F61"/>
    <w:rsid w:val="00876789"/>
    <w:rsid w:val="00885FE9"/>
    <w:rsid w:val="00890982"/>
    <w:rsid w:val="00893253"/>
    <w:rsid w:val="00896188"/>
    <w:rsid w:val="008C00D6"/>
    <w:rsid w:val="008C7CEB"/>
    <w:rsid w:val="008D1C42"/>
    <w:rsid w:val="008D5273"/>
    <w:rsid w:val="009015DC"/>
    <w:rsid w:val="009150B3"/>
    <w:rsid w:val="009305D6"/>
    <w:rsid w:val="009325D3"/>
    <w:rsid w:val="009376D8"/>
    <w:rsid w:val="00940F0C"/>
    <w:rsid w:val="00945A78"/>
    <w:rsid w:val="009502B3"/>
    <w:rsid w:val="0095418B"/>
    <w:rsid w:val="009569DD"/>
    <w:rsid w:val="0095727E"/>
    <w:rsid w:val="0096129B"/>
    <w:rsid w:val="00961D25"/>
    <w:rsid w:val="00964261"/>
    <w:rsid w:val="00966121"/>
    <w:rsid w:val="009714FC"/>
    <w:rsid w:val="00972D42"/>
    <w:rsid w:val="00976001"/>
    <w:rsid w:val="00981E76"/>
    <w:rsid w:val="00995007"/>
    <w:rsid w:val="00996DB8"/>
    <w:rsid w:val="009A1DBF"/>
    <w:rsid w:val="009A1FA7"/>
    <w:rsid w:val="009A38B4"/>
    <w:rsid w:val="009B13AE"/>
    <w:rsid w:val="009B3F1C"/>
    <w:rsid w:val="009B7713"/>
    <w:rsid w:val="009C6DBD"/>
    <w:rsid w:val="009C7AF3"/>
    <w:rsid w:val="009D0516"/>
    <w:rsid w:val="009D0A4F"/>
    <w:rsid w:val="009D1BEF"/>
    <w:rsid w:val="009D7EBB"/>
    <w:rsid w:val="009E1B7F"/>
    <w:rsid w:val="009E247E"/>
    <w:rsid w:val="009E2921"/>
    <w:rsid w:val="009E2E70"/>
    <w:rsid w:val="009E502A"/>
    <w:rsid w:val="009E573F"/>
    <w:rsid w:val="009F47EF"/>
    <w:rsid w:val="00A0157D"/>
    <w:rsid w:val="00A113EA"/>
    <w:rsid w:val="00A14DB4"/>
    <w:rsid w:val="00A31297"/>
    <w:rsid w:val="00A3563E"/>
    <w:rsid w:val="00A43D42"/>
    <w:rsid w:val="00A447EA"/>
    <w:rsid w:val="00A51FA2"/>
    <w:rsid w:val="00A65778"/>
    <w:rsid w:val="00A7245D"/>
    <w:rsid w:val="00A72844"/>
    <w:rsid w:val="00A73F5D"/>
    <w:rsid w:val="00A76DB1"/>
    <w:rsid w:val="00A80FCB"/>
    <w:rsid w:val="00A815D8"/>
    <w:rsid w:val="00AA3101"/>
    <w:rsid w:val="00AB11DE"/>
    <w:rsid w:val="00AB30A7"/>
    <w:rsid w:val="00AB3605"/>
    <w:rsid w:val="00AC02B8"/>
    <w:rsid w:val="00AC17F8"/>
    <w:rsid w:val="00AD670E"/>
    <w:rsid w:val="00AE10D6"/>
    <w:rsid w:val="00AE226A"/>
    <w:rsid w:val="00AE2595"/>
    <w:rsid w:val="00AF1500"/>
    <w:rsid w:val="00AF268E"/>
    <w:rsid w:val="00AF706E"/>
    <w:rsid w:val="00B03F36"/>
    <w:rsid w:val="00B06677"/>
    <w:rsid w:val="00B0733B"/>
    <w:rsid w:val="00B12E4F"/>
    <w:rsid w:val="00B13F21"/>
    <w:rsid w:val="00B14FCF"/>
    <w:rsid w:val="00B15F2D"/>
    <w:rsid w:val="00B231FD"/>
    <w:rsid w:val="00B252BA"/>
    <w:rsid w:val="00B26334"/>
    <w:rsid w:val="00B35920"/>
    <w:rsid w:val="00B41ECE"/>
    <w:rsid w:val="00B51321"/>
    <w:rsid w:val="00B523F3"/>
    <w:rsid w:val="00B54A88"/>
    <w:rsid w:val="00B71AEC"/>
    <w:rsid w:val="00B84093"/>
    <w:rsid w:val="00B8434E"/>
    <w:rsid w:val="00B85073"/>
    <w:rsid w:val="00B856E4"/>
    <w:rsid w:val="00B954B4"/>
    <w:rsid w:val="00BA5ADA"/>
    <w:rsid w:val="00BB0BD0"/>
    <w:rsid w:val="00BB2547"/>
    <w:rsid w:val="00BB5AE5"/>
    <w:rsid w:val="00BC2726"/>
    <w:rsid w:val="00BC6325"/>
    <w:rsid w:val="00BC683A"/>
    <w:rsid w:val="00BD36C6"/>
    <w:rsid w:val="00BE33FA"/>
    <w:rsid w:val="00BF78F4"/>
    <w:rsid w:val="00BF7945"/>
    <w:rsid w:val="00C01DA5"/>
    <w:rsid w:val="00C02EF0"/>
    <w:rsid w:val="00C042BB"/>
    <w:rsid w:val="00C22A1D"/>
    <w:rsid w:val="00C3356B"/>
    <w:rsid w:val="00C338BB"/>
    <w:rsid w:val="00C37673"/>
    <w:rsid w:val="00C403AC"/>
    <w:rsid w:val="00C40C0E"/>
    <w:rsid w:val="00C50262"/>
    <w:rsid w:val="00C527F0"/>
    <w:rsid w:val="00C5600E"/>
    <w:rsid w:val="00C57F72"/>
    <w:rsid w:val="00C60CAB"/>
    <w:rsid w:val="00C65868"/>
    <w:rsid w:val="00C753AC"/>
    <w:rsid w:val="00C775E5"/>
    <w:rsid w:val="00C81D8E"/>
    <w:rsid w:val="00C8350E"/>
    <w:rsid w:val="00C858F1"/>
    <w:rsid w:val="00C87C5F"/>
    <w:rsid w:val="00C91E2D"/>
    <w:rsid w:val="00CA204C"/>
    <w:rsid w:val="00CA54E4"/>
    <w:rsid w:val="00CC0727"/>
    <w:rsid w:val="00CC58F1"/>
    <w:rsid w:val="00CC6C47"/>
    <w:rsid w:val="00CD1A37"/>
    <w:rsid w:val="00CD7C7D"/>
    <w:rsid w:val="00CE3E8E"/>
    <w:rsid w:val="00CF14EB"/>
    <w:rsid w:val="00CF191A"/>
    <w:rsid w:val="00CF5168"/>
    <w:rsid w:val="00CF7171"/>
    <w:rsid w:val="00D073FC"/>
    <w:rsid w:val="00D1115C"/>
    <w:rsid w:val="00D11982"/>
    <w:rsid w:val="00D13F44"/>
    <w:rsid w:val="00D14DD6"/>
    <w:rsid w:val="00D1614C"/>
    <w:rsid w:val="00D20DFD"/>
    <w:rsid w:val="00D43FAE"/>
    <w:rsid w:val="00D4506E"/>
    <w:rsid w:val="00D47A31"/>
    <w:rsid w:val="00D72C94"/>
    <w:rsid w:val="00D85227"/>
    <w:rsid w:val="00D87FBB"/>
    <w:rsid w:val="00D93B72"/>
    <w:rsid w:val="00DB0F8B"/>
    <w:rsid w:val="00DC0DB0"/>
    <w:rsid w:val="00DC139F"/>
    <w:rsid w:val="00DC206B"/>
    <w:rsid w:val="00DC3810"/>
    <w:rsid w:val="00DD169D"/>
    <w:rsid w:val="00DE1DBC"/>
    <w:rsid w:val="00DE2BD5"/>
    <w:rsid w:val="00DF0DEC"/>
    <w:rsid w:val="00DF5ADC"/>
    <w:rsid w:val="00E2180F"/>
    <w:rsid w:val="00E22A9E"/>
    <w:rsid w:val="00E46FD9"/>
    <w:rsid w:val="00E567AC"/>
    <w:rsid w:val="00E57B0E"/>
    <w:rsid w:val="00E60327"/>
    <w:rsid w:val="00E665A5"/>
    <w:rsid w:val="00E709A0"/>
    <w:rsid w:val="00E70A2A"/>
    <w:rsid w:val="00E80F72"/>
    <w:rsid w:val="00E84BFF"/>
    <w:rsid w:val="00E85E3E"/>
    <w:rsid w:val="00E903D9"/>
    <w:rsid w:val="00E93086"/>
    <w:rsid w:val="00EB06B3"/>
    <w:rsid w:val="00EB27FC"/>
    <w:rsid w:val="00EC1BD0"/>
    <w:rsid w:val="00EC46D9"/>
    <w:rsid w:val="00ED0BDD"/>
    <w:rsid w:val="00ED3C49"/>
    <w:rsid w:val="00EE0846"/>
    <w:rsid w:val="00EF778D"/>
    <w:rsid w:val="00F11573"/>
    <w:rsid w:val="00F152A8"/>
    <w:rsid w:val="00F15B61"/>
    <w:rsid w:val="00F21D78"/>
    <w:rsid w:val="00F25ACE"/>
    <w:rsid w:val="00F260C1"/>
    <w:rsid w:val="00F30C89"/>
    <w:rsid w:val="00F34478"/>
    <w:rsid w:val="00F40B33"/>
    <w:rsid w:val="00F609BB"/>
    <w:rsid w:val="00F61093"/>
    <w:rsid w:val="00F6435D"/>
    <w:rsid w:val="00F7007D"/>
    <w:rsid w:val="00F7318C"/>
    <w:rsid w:val="00F75574"/>
    <w:rsid w:val="00F75C42"/>
    <w:rsid w:val="00F76331"/>
    <w:rsid w:val="00F7747F"/>
    <w:rsid w:val="00F8312A"/>
    <w:rsid w:val="00F96E47"/>
    <w:rsid w:val="00FA2D15"/>
    <w:rsid w:val="00FA7E60"/>
    <w:rsid w:val="00FB1AA2"/>
    <w:rsid w:val="00FC0A64"/>
    <w:rsid w:val="00FC7081"/>
    <w:rsid w:val="00FD0249"/>
    <w:rsid w:val="00FD1A4F"/>
    <w:rsid w:val="00FD4EAE"/>
    <w:rsid w:val="00FE2BCF"/>
    <w:rsid w:val="00FF1C44"/>
    <w:rsid w:val="00FF2895"/>
    <w:rsid w:val="00FF43C7"/>
    <w:rsid w:val="00FF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C8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66C8D"/>
    <w:pPr>
      <w:keepNext/>
      <w:spacing w:before="240" w:after="120"/>
      <w:outlineLvl w:val="0"/>
    </w:pPr>
    <w:rPr>
      <w:rFonts w:ascii="Arial" w:hAnsi="Arial"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6C8D"/>
    <w:pPr>
      <w:keepNext/>
      <w:spacing w:before="240" w:after="120"/>
      <w:outlineLvl w:val="1"/>
    </w:pPr>
    <w:rPr>
      <w:rFonts w:ascii="Arial" w:hAnsi="Arial"/>
      <w:b/>
      <w:bCs/>
      <w:iCs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073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66C8D"/>
    <w:rPr>
      <w:rFonts w:ascii="Arial" w:eastAsia="Times New Roman" w:hAnsi="Arial" w:cs="Times New Roman"/>
      <w:bCs/>
      <w:kern w:val="32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9"/>
    <w:semiHidden/>
    <w:rsid w:val="00366C8D"/>
    <w:rPr>
      <w:rFonts w:ascii="Arial" w:eastAsia="Times New Roman" w:hAnsi="Arial" w:cs="Times New Roman"/>
      <w:b/>
      <w:bCs/>
      <w:iCs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66C8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6C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66C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rsid w:val="00366C8D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366C8D"/>
  </w:style>
  <w:style w:type="character" w:customStyle="1" w:styleId="apple-converted-space">
    <w:name w:val="apple-converted-space"/>
    <w:basedOn w:val="Fontepargpadro"/>
    <w:rsid w:val="00366C8D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66C8D"/>
    <w:pPr>
      <w:keepLines/>
      <w:spacing w:before="480" w:after="0" w:line="276" w:lineRule="auto"/>
      <w:jc w:val="center"/>
      <w:outlineLvl w:val="9"/>
    </w:pPr>
    <w:rPr>
      <w:b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366C8D"/>
  </w:style>
  <w:style w:type="paragraph" w:styleId="Sumrio2">
    <w:name w:val="toc 2"/>
    <w:basedOn w:val="Normal"/>
    <w:next w:val="Normal"/>
    <w:autoRedefine/>
    <w:uiPriority w:val="39"/>
    <w:unhideWhenUsed/>
    <w:rsid w:val="00366C8D"/>
    <w:pPr>
      <w:ind w:left="240"/>
    </w:pPr>
  </w:style>
  <w:style w:type="character" w:customStyle="1" w:styleId="Ttulo9Char">
    <w:name w:val="Título 9 Char"/>
    <w:link w:val="Ttulo9"/>
    <w:uiPriority w:val="9"/>
    <w:semiHidden/>
    <w:rsid w:val="0076073F"/>
    <w:rPr>
      <w:rFonts w:ascii="Calibri Light" w:eastAsia="Times New Roman" w:hAnsi="Calibri Light" w:cs="Times New Roman"/>
      <w:sz w:val="22"/>
      <w:szCs w:val="22"/>
    </w:rPr>
  </w:style>
  <w:style w:type="table" w:styleId="Tabelacomgrade">
    <w:name w:val="Table Grid"/>
    <w:basedOn w:val="Tabelanormal"/>
    <w:uiPriority w:val="59"/>
    <w:rsid w:val="00957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54A88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9D05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D0516"/>
    <w:rPr>
      <w:rFonts w:ascii="Times New Roman" w:eastAsia="Times New Roman" w:hAnsi="Times New Roman"/>
      <w:sz w:val="24"/>
      <w:szCs w:val="24"/>
    </w:rPr>
  </w:style>
  <w:style w:type="character" w:styleId="nfase">
    <w:name w:val="Emphasis"/>
    <w:uiPriority w:val="20"/>
    <w:qFormat/>
    <w:rsid w:val="009C6DBD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2895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F2895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FF2895"/>
    <w:rPr>
      <w:vertAlign w:val="superscript"/>
    </w:rPr>
  </w:style>
  <w:style w:type="character" w:customStyle="1" w:styleId="hps">
    <w:name w:val="hps"/>
    <w:basedOn w:val="Fontepargpadro"/>
    <w:rsid w:val="00C01DA5"/>
  </w:style>
  <w:style w:type="paragraph" w:styleId="Textodebalo">
    <w:name w:val="Balloon Text"/>
    <w:basedOn w:val="Normal"/>
    <w:link w:val="TextodebaloChar"/>
    <w:uiPriority w:val="99"/>
    <w:semiHidden/>
    <w:unhideWhenUsed/>
    <w:rsid w:val="00C01D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D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Anexo:Lista_de_munic%C3%ADpios_da_Bahia_por_popula%C3%A7%C3%A3o" TargetMode="External"/><Relationship Id="rId13" Type="http://schemas.openxmlformats.org/officeDocument/2006/relationships/hyperlink" Target="http://pt.wikipedia.org/wiki/Bahia" TargetMode="External"/><Relationship Id="rId18" Type="http://schemas.openxmlformats.org/officeDocument/2006/relationships/chart" Target="charts/chart4.xml"/><Relationship Id="rId26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pt.wikipedia.org/wiki/Unidades_federativas_do_Brasil" TargetMode="External"/><Relationship Id="rId17" Type="http://schemas.openxmlformats.org/officeDocument/2006/relationships/chart" Target="charts/chart3.xml"/><Relationship Id="rId25" Type="http://schemas.openxmlformats.org/officeDocument/2006/relationships/image" Target="media/image5.emf"/><Relationship Id="rId33" Type="http://schemas.openxmlformats.org/officeDocument/2006/relationships/hyperlink" Target="http://www.teses.usp.br/teses/disponiveis/12/12138/tde-13012014-112630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chart" Target="charts/chart5.xml"/><Relationship Id="rId29" Type="http://schemas.openxmlformats.org/officeDocument/2006/relationships/hyperlink" Target="http://www.senado.gov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t.wikipedia.org/wiki/Munic%C3%ADpios_do_Brasil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://www.teses.usp.br/teses/disponiveis/12/12138/tde-06052005-160301/" TargetMode="Externa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7.xml"/><Relationship Id="rId28" Type="http://schemas.openxmlformats.org/officeDocument/2006/relationships/image" Target="media/image6.emf"/><Relationship Id="rId36" Type="http://schemas.openxmlformats.org/officeDocument/2006/relationships/fontTable" Target="fontTable.xml"/><Relationship Id="rId10" Type="http://schemas.openxmlformats.org/officeDocument/2006/relationships/hyperlink" Target="http://pt.wikipedia.org/wiki/Popula%C3%A7%C3%A3o" TargetMode="External"/><Relationship Id="rId19" Type="http://schemas.openxmlformats.org/officeDocument/2006/relationships/image" Target="media/image2.emf"/><Relationship Id="rId31" Type="http://schemas.openxmlformats.org/officeDocument/2006/relationships/hyperlink" Target="http://www.congressocfc.org.br/hotsite/trabalhos_1/33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t.wikipedia.org/wiki/Interior_do_Brasil" TargetMode="External"/><Relationship Id="rId14" Type="http://schemas.openxmlformats.org/officeDocument/2006/relationships/chart" Target="charts/chart1.xml"/><Relationship Id="rId22" Type="http://schemas.openxmlformats.org/officeDocument/2006/relationships/image" Target="media/image3.emf"/><Relationship Id="rId27" Type="http://schemas.openxmlformats.org/officeDocument/2006/relationships/chart" Target="charts/chart9.xml"/><Relationship Id="rId30" Type="http://schemas.openxmlformats.org/officeDocument/2006/relationships/hyperlink" Target="http://www.stn.fazenda.gov.br" TargetMode="External"/><Relationship Id="rId35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GRADUS\CAIRU\TCC\ANEXOS%20ARTIGO\gr&#225;ficos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GRADUS\CAIRU\TCC\ANEXOS%20ARTIGO\gr&#225;ficos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GRADUS\CAIRU\TCC\ANEXOS%20ARTIGO\gr&#225;ficos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GRADUS\CAIRU\TCC\ANEXOS%20ARTIGO\gr&#225;ficos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GRADUS\CAIRU\TCC\ANEXOS%20ARTIGO\gr&#225;ficos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GRADUS\CAIRU\TCC\ANEXOS%20ARTIGO\gr&#225;ficos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GRADUS\CAIRU\TCC\ANEXOS%20ARTIGO\gr&#225;ficos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GRADUS\CAIRU\TCC\ANEXOS%20ARTIGO\gr&#225;ficos.xlsx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GRADUS\CAIRU\TCC\ANEXOS%20ARTIGO\gr&#225;ficos.xlsx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Variação comportamental</a:t>
            </a:r>
            <a:r>
              <a:rPr lang="pt-BR" baseline="0"/>
              <a:t> da Divida Consolidada Líquida, Salvador (R$ Bilhões) </a:t>
            </a:r>
            <a:endParaRPr lang="pt-BR"/>
          </a:p>
        </c:rich>
      </c:tx>
      <c:layout>
        <c:manualLayout>
          <c:xMode val="edge"/>
          <c:yMode val="edge"/>
          <c:x val="0.14667206171484343"/>
          <c:y val="2.7777752887585862E-2"/>
        </c:manualLayout>
      </c:layout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7211958427375557E-2"/>
                  <c:y val="-8.576865011711702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0076118889808089E-2"/>
                  <c:y val="-7.0511269240913541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756919976442632E-2"/>
                  <c:y val="-6.658400653305097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5133048528508406E-2"/>
                  <c:y val="5.891015289426663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1586949237728307E-2"/>
                  <c:y val="-4.712812231541332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158694923772837E-2"/>
                  <c:y val="5.498280936798218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5133048528508482E-2"/>
                  <c:y val="-3.53460917365599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5133048528508406E-2"/>
                  <c:y val="4.712812231541332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771346400848826E-2"/>
                  <c:y val="-7.46195269994044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8040849946948251E-2"/>
                  <c:y val="8.247421405197318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0452197464678654E-2"/>
                  <c:y val="-5.498280936798218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8679147819288685E-2"/>
                  <c:y val="5.891015289426663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8040849946948251E-2"/>
                  <c:y val="-4.71281223154133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8.8314625565422827E-3"/>
                  <c:y val="3.1418748210275495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SALVADOR!$A$2:$A$15</c:f>
              <c:numCache>
                <c:formatCode>General</c:formatCode>
                <c:ptCount val="1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</c:numCache>
            </c:numRef>
          </c:cat>
          <c:val>
            <c:numRef>
              <c:f>SALVADOR!$B$2:$B$15</c:f>
              <c:numCache>
                <c:formatCode>_(* #,##0.00_);_(* \(#,##0.00\);_(* "-"??_);_(@_)</c:formatCode>
                <c:ptCount val="14"/>
                <c:pt idx="0">
                  <c:v>1829.487997720001</c:v>
                </c:pt>
                <c:pt idx="1">
                  <c:v>1544.362932849999</c:v>
                </c:pt>
                <c:pt idx="2">
                  <c:v>1483.174518849999</c:v>
                </c:pt>
                <c:pt idx="3">
                  <c:v>1355.7612591100001</c:v>
                </c:pt>
                <c:pt idx="4">
                  <c:v>1766.564841279999</c:v>
                </c:pt>
                <c:pt idx="5">
                  <c:v>1234.0229999999999</c:v>
                </c:pt>
                <c:pt idx="6">
                  <c:v>1358.2060000000001</c:v>
                </c:pt>
                <c:pt idx="7">
                  <c:v>1174.4799108499999</c:v>
                </c:pt>
                <c:pt idx="8">
                  <c:v>1115.0660452</c:v>
                </c:pt>
                <c:pt idx="9">
                  <c:v>1337.6450606800001</c:v>
                </c:pt>
                <c:pt idx="10">
                  <c:v>1966.4719724000001</c:v>
                </c:pt>
                <c:pt idx="11">
                  <c:v>1727.0139491499999</c:v>
                </c:pt>
                <c:pt idx="12">
                  <c:v>1829.487997720001</c:v>
                </c:pt>
                <c:pt idx="13">
                  <c:v>1146.6239063999992</c:v>
                </c:pt>
              </c:numCache>
            </c:numRef>
          </c:val>
        </c:ser>
        <c:dLbls>
          <c:showVal val="1"/>
        </c:dLbls>
        <c:marker val="1"/>
        <c:axId val="102084608"/>
        <c:axId val="102086912"/>
      </c:lineChart>
      <c:catAx>
        <c:axId val="1020846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02086912"/>
        <c:crosses val="autoZero"/>
        <c:auto val="1"/>
        <c:lblAlgn val="ctr"/>
        <c:lblOffset val="100"/>
      </c:catAx>
      <c:valAx>
        <c:axId val="1020869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02084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15875" cap="flat" cmpd="sng" algn="ctr">
      <a:solidFill>
        <a:schemeClr val="bg2">
          <a:lumMod val="10000"/>
          <a:alpha val="9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b="1"/>
              <a:t>Razão</a:t>
            </a:r>
            <a:r>
              <a:rPr lang="pt-BR" b="1" baseline="0"/>
              <a:t> entre</a:t>
            </a:r>
            <a:r>
              <a:rPr lang="pt-BR" b="1"/>
              <a:t> Divida Consolidada Líquida</a:t>
            </a:r>
            <a:r>
              <a:rPr lang="pt-BR" b="1" baseline="0"/>
              <a:t> e </a:t>
            </a:r>
            <a:r>
              <a:rPr lang="pt-BR" b="1"/>
              <a:t>Receita Corrente Líquida,</a:t>
            </a:r>
            <a:r>
              <a:rPr lang="pt-BR" b="1" baseline="0"/>
              <a:t> </a:t>
            </a:r>
            <a:r>
              <a:rPr lang="pt-BR" b="1"/>
              <a:t>Salvador-BA, 2014.</a:t>
            </a:r>
          </a:p>
        </c:rich>
      </c:tx>
      <c:layout>
        <c:manualLayout>
          <c:xMode val="edge"/>
          <c:yMode val="edge"/>
          <c:x val="0.11447631251351754"/>
          <c:y val="3.7037049283973139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2762723265632628E-2"/>
          <c:y val="0.25967592592592598"/>
          <c:w val="0.90426677483794338"/>
          <c:h val="0.63292468649752198"/>
        </c:manualLayout>
      </c:layout>
      <c:lineChart>
        <c:grouping val="standard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5551222180655218E-2"/>
                  <c:y val="0.10185185185185186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8029231237975263E-2"/>
                  <c:y val="0.1342592592592592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3852776347716539E-2"/>
                  <c:y val="-0.1157407407407408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2205686128234022E-2"/>
                  <c:y val="9.722222222222216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9676321457457892E-2"/>
                  <c:y val="-0.1111111111111111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3852776347716539E-2"/>
                  <c:y val="0.13888888888888881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5941003792845866E-2"/>
                  <c:y val="8.3333333333333343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3852776347716539E-2"/>
                  <c:y val="0.1111111111111110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0882274451293602E-2"/>
                  <c:y val="-0.1481481481481483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SALVADOR!$A$34:$A$42</c:f>
              <c:numCache>
                <c:formatCode>General</c:formatCod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SALVADOR!$A$29:$A$42</c15:sqref>
                  </c15:fullRef>
                </c:ext>
              </c:extLst>
            </c:numRef>
          </c:cat>
          <c:val>
            <c:numRef>
              <c:f>SALVADOR!$B$34:$B$42</c:f>
              <c:numCache>
                <c:formatCode>0.00%</c:formatCode>
                <c:ptCount val="9"/>
                <c:pt idx="0">
                  <c:v>0.88189980832972503</c:v>
                </c:pt>
                <c:pt idx="1">
                  <c:v>0.76167120534412547</c:v>
                </c:pt>
                <c:pt idx="2">
                  <c:v>0.54496290349444854</c:v>
                </c:pt>
                <c:pt idx="3">
                  <c:v>0.46235150779828732</c:v>
                </c:pt>
                <c:pt idx="4">
                  <c:v>0.53202510347628362</c:v>
                </c:pt>
                <c:pt idx="5">
                  <c:v>0.69758098762827025</c:v>
                </c:pt>
                <c:pt idx="6">
                  <c:v>0.51198078380771228</c:v>
                </c:pt>
                <c:pt idx="7">
                  <c:v>0.5208399650493325</c:v>
                </c:pt>
                <c:pt idx="8">
                  <c:v>0.28245229889078138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SALVADOR!$B$29:$B$42</c15:sqref>
                  </c15:fullRef>
                </c:ext>
              </c:extLst>
            </c:numRef>
          </c:val>
        </c:ser>
        <c:marker val="1"/>
        <c:axId val="131193088"/>
        <c:axId val="131416064"/>
      </c:lineChart>
      <c:catAx>
        <c:axId val="1311930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1416064"/>
        <c:crosses val="autoZero"/>
        <c:auto val="1"/>
        <c:lblAlgn val="ctr"/>
        <c:lblOffset val="100"/>
      </c:catAx>
      <c:valAx>
        <c:axId val="1314160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1193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19050" cap="flat" cmpd="sng" algn="ctr">
      <a:solidFill>
        <a:schemeClr val="tx1">
          <a:lumMod val="95000"/>
          <a:lumOff val="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800" b="0" i="0" baseline="0">
                <a:effectLst/>
              </a:rPr>
              <a:t>Variação comportamental da Divida Consolidada Líquida, Vitória da Conquista (R$ Milhões)</a:t>
            </a:r>
            <a:endParaRPr lang="pt-BR">
              <a:effectLst/>
            </a:endParaRPr>
          </a:p>
        </c:rich>
      </c:tx>
      <c:layout>
        <c:manualLayout>
          <c:xMode val="edge"/>
          <c:yMode val="edge"/>
          <c:x val="9.2862855351766277E-2"/>
          <c:y val="2.6435346973035713E-2"/>
        </c:manualLayout>
      </c:layout>
      <c:spPr>
        <a:noFill/>
        <a:ln w="15875">
          <a:noFill/>
        </a:ln>
        <a:effectLst/>
      </c:spPr>
    </c:title>
    <c:plotArea>
      <c:layout>
        <c:manualLayout>
          <c:layoutTarget val="inner"/>
          <c:xMode val="edge"/>
          <c:yMode val="edge"/>
          <c:x val="7.9491670684021715E-2"/>
          <c:y val="0.12881749850489532"/>
          <c:w val="0.90699788160997663"/>
          <c:h val="0.74972940977766389"/>
        </c:manualLayout>
      </c:layout>
      <c:lineChart>
        <c:grouping val="standard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4"/>
              <c:layout>
                <c:manualLayout>
                  <c:x val="-2.7072758037225059E-2"/>
                  <c:y val="-5.839415163413208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6.228709507640744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3840947546531957E-3"/>
                  <c:y val="-3.503649098047914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18443316412861E-2"/>
                  <c:y val="4.28223778650301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3536379018612666E-2"/>
                  <c:y val="8.175181228778470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5966458655876688E-2"/>
                  <c:y val="7.862590315348193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1996615905245476E-2"/>
                  <c:y val="-8.175181228778492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5228426395939101E-2"/>
                  <c:y val="6.618003851868296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0"/>
                  <c:y val="3.89294344227545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0"/>
                  <c:y val="2.725060409592819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CONQUISTA!$A$2:$A$15</c:f>
              <c:numCache>
                <c:formatCode>General</c:formatCode>
                <c:ptCount val="1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</c:numCache>
            </c:numRef>
          </c:cat>
          <c:val>
            <c:numRef>
              <c:f>CONQUISTA!$B$2:$B$15</c:f>
              <c:numCache>
                <c:formatCode>General</c:formatCode>
                <c:ptCount val="14"/>
                <c:pt idx="4" formatCode="_(* #,##0.00_);_(* \(#,##0.00\);_(* &quot;-&quot;??_);_(@_)">
                  <c:v>47.352509000000005</c:v>
                </c:pt>
                <c:pt idx="5" formatCode="_(* #,##0.00_);_(* \(#,##0.00\);_(* &quot;-&quot;??_);_(@_)">
                  <c:v>47.405264000000003</c:v>
                </c:pt>
                <c:pt idx="6" formatCode="_(* #,##0.00_);_(* \(#,##0.00\);_(* &quot;-&quot;??_);_(@_)">
                  <c:v>47.405264000000003</c:v>
                </c:pt>
                <c:pt idx="7" formatCode="_(* #,##0.00_);_(* \(#,##0.00\);_(* &quot;-&quot;??_);_(@_)">
                  <c:v>32.955431000000004</c:v>
                </c:pt>
                <c:pt idx="8" formatCode="_(* #,##0.00_);_(* \(#,##0.00\);_(* &quot;-&quot;??_);_(@_)">
                  <c:v>121.24639851999993</c:v>
                </c:pt>
                <c:pt idx="9" formatCode="_(* #,##0.00_);_(* \(#,##0.00\);_(* &quot;-&quot;??_);_(@_)">
                  <c:v>125.41237867</c:v>
                </c:pt>
                <c:pt idx="10" formatCode="_(* #,##0.00_);_(* \(#,##0.00\);_(* &quot;-&quot;??_);_(@_)">
                  <c:v>90.572305789999959</c:v>
                </c:pt>
                <c:pt idx="11" formatCode="_(* #,##0.00_);_(* \(#,##0.00\);_(* &quot;-&quot;??_);_(@_)">
                  <c:v>61.779927459999996</c:v>
                </c:pt>
                <c:pt idx="12" formatCode="_(* #,##0.00_);_(* \(#,##0.00\);_(* &quot;-&quot;??_);_(@_)">
                  <c:v>72.549561620000077</c:v>
                </c:pt>
                <c:pt idx="13" formatCode="_(* #,##0.00_);_(* \(#,##0.00\);_(* &quot;-&quot;??_);_(@_)">
                  <c:v>96.976451279999978</c:v>
                </c:pt>
              </c:numCache>
            </c:numRef>
          </c:val>
        </c:ser>
        <c:marker val="1"/>
        <c:axId val="133371008"/>
        <c:axId val="133554944"/>
      </c:lineChart>
      <c:catAx>
        <c:axId val="1333710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3554944"/>
        <c:crosses val="autoZero"/>
        <c:auto val="1"/>
        <c:lblAlgn val="ctr"/>
        <c:lblOffset val="100"/>
      </c:catAx>
      <c:valAx>
        <c:axId val="1335549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3371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15875" cap="flat" cmpd="sng" algn="ctr">
      <a:solidFill>
        <a:schemeClr val="bg2">
          <a:lumMod val="1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pt-BR" sz="1400" b="0" i="0" baseline="0">
                <a:effectLst/>
              </a:rPr>
              <a:t>Razão entre Divida Consolidada Líquida e Receita Corrente Líquida, Vitória da Conquista -BA, 2014.</a:t>
            </a:r>
            <a:endParaRPr lang="pt-BR" sz="1400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1.3640238704177209E-2"/>
                  <c:y val="-2.8498723167442397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8201193520886624E-3"/>
                  <c:y val="3.256996933421981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3640238704177458E-2"/>
                  <c:y val="-5.6997446334884717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1935208866155166E-2"/>
                  <c:y val="-4.885495400132973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5345268542199484E-2"/>
                  <c:y val="-4.8854954001329803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2503407705063163E-16"/>
                  <c:y val="6.106869250166216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2.0460358056266E-2"/>
                  <c:y val="0.12213738500332415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2503407705063163E-16"/>
                  <c:y val="9.363866183588208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CONQUISTA!$A$31:$A$38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CONQUISTA!$A$25:$A$38</c15:sqref>
                  </c15:fullRef>
                </c:ext>
              </c:extLst>
            </c:numRef>
          </c:cat>
          <c:val>
            <c:numRef>
              <c:f>CONQUISTA!$B$31:$B$38</c:f>
              <c:numCache>
                <c:formatCode>0.00%</c:formatCode>
                <c:ptCount val="8"/>
                <c:pt idx="0">
                  <c:v>0.26175255959641353</c:v>
                </c:pt>
                <c:pt idx="1">
                  <c:v>0.15593490666087118</c:v>
                </c:pt>
                <c:pt idx="2">
                  <c:v>0.46216368527948226</c:v>
                </c:pt>
                <c:pt idx="3">
                  <c:v>0.46743875631980064</c:v>
                </c:pt>
                <c:pt idx="4">
                  <c:v>0.29132192826467607</c:v>
                </c:pt>
                <c:pt idx="5">
                  <c:v>0.16683655149280319</c:v>
                </c:pt>
                <c:pt idx="6">
                  <c:v>0.17290250299694118</c:v>
                </c:pt>
                <c:pt idx="7">
                  <c:v>0.21237898459157334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CONQUISTA!$B$25:$B$38</c15:sqref>
                  </c15:fullRef>
                </c:ext>
              </c:extLst>
            </c:numRef>
          </c:val>
          <c:extLst>
            <c:ext xmlns:c15="http://schemas.microsoft.com/office/drawing/2012/chart" uri="{02D57815-91ED-43cb-92C2-25804820EDAC}">
              <c15:categoryFilterExceptions>
                <c15:categoryFilterException>
                  <c15:sqref>CONQUISTA!$B$30</c15:sqref>
                  <c15:dLbl>
                    <c:idx val="-1"/>
                    <c:layout>
                      <c:manualLayout>
                        <c:x val="-6.8201193520886615E-3"/>
                        <c:y val="-6.1068692501662233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</c:extLst>
                  </c15:dLbl>
                </c15:categoryFilterException>
              </c15:categoryFilterExceptions>
            </c:ext>
          </c:extLst>
        </c:ser>
        <c:marker val="1"/>
        <c:axId val="134120960"/>
        <c:axId val="134206208"/>
      </c:lineChart>
      <c:catAx>
        <c:axId val="1341209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4206208"/>
        <c:crosses val="autoZero"/>
        <c:auto val="1"/>
        <c:lblAlgn val="ctr"/>
        <c:lblOffset val="100"/>
      </c:catAx>
      <c:valAx>
        <c:axId val="1342062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4120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19050" cap="flat" cmpd="sng" algn="ctr">
      <a:solidFill>
        <a:schemeClr val="tx1">
          <a:lumMod val="95000"/>
          <a:lumOff val="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800" b="0" i="0" baseline="0">
                <a:effectLst/>
              </a:rPr>
              <a:t>Variação comportamental da Divida Consolidada Líquida, Feira de Santana (R$ Milhões)</a:t>
            </a:r>
          </a:p>
        </c:rich>
      </c:tx>
      <c:layout>
        <c:manualLayout>
          <c:xMode val="edge"/>
          <c:yMode val="edge"/>
          <c:x val="0.11457188210059258"/>
          <c:y val="3.0476190476190504E-2"/>
        </c:manualLayout>
      </c:layout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'FEIRA DE SANTANA'!$B$1</c:f>
              <c:strCache>
                <c:ptCount val="1"/>
                <c:pt idx="0">
                  <c:v>Dívida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3.3927056827819583E-3"/>
                  <c:y val="3.428571428571432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178117048346057E-2"/>
                  <c:y val="7.6190476190476242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3.4285714285714343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0890585241730353E-3"/>
                  <c:y val="-3.428571428571432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0178117048346057E-2"/>
                  <c:y val="-2.2857142857142881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1874469889737085E-2"/>
                  <c:y val="-5.333333333333347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0178117048346057E-2"/>
                  <c:y val="-5.714285714285707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7.619047619047629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'FEIRA DE SANTANA'!$A$8:$A$15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'FEIRA DE SANTANA'!$A$2:$A$15</c15:sqref>
                  </c15:fullRef>
                </c:ext>
              </c:extLst>
            </c:numRef>
          </c:cat>
          <c:val>
            <c:numRef>
              <c:f>'FEIRA DE SANTANA'!$B$8:$B$15</c:f>
              <c:numCache>
                <c:formatCode>0.00</c:formatCode>
                <c:ptCount val="8"/>
                <c:pt idx="0">
                  <c:v>47.050259920000002</c:v>
                </c:pt>
                <c:pt idx="1">
                  <c:v>67.65520309999998</c:v>
                </c:pt>
                <c:pt idx="2">
                  <c:v>129.6407473400001</c:v>
                </c:pt>
                <c:pt idx="3">
                  <c:v>122.51990097999999</c:v>
                </c:pt>
                <c:pt idx="4">
                  <c:v>110.73127955000002</c:v>
                </c:pt>
                <c:pt idx="5">
                  <c:v>68.667306269999983</c:v>
                </c:pt>
                <c:pt idx="6">
                  <c:v>63.926944350000007</c:v>
                </c:pt>
                <c:pt idx="7">
                  <c:v>67.65520309999998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'FEIRA DE SANTANA'!$B$2:$B$15</c15:sqref>
                  </c15:fullRef>
                </c:ext>
              </c:extLst>
            </c:numRef>
          </c:val>
          <c:extLst>
            <c:ext xmlns:c15="http://schemas.microsoft.com/office/drawing/2012/chart" uri="{02D57815-91ED-43cb-92C2-25804820EDAC}">
              <c15:categoryFilterExceptions>
                <c15:categoryFilterException>
                  <c15:sqref>'FEIRA DE SANTANA'!$B$7</c15:sqref>
                  <c15:dLbl>
                    <c:idx val="-1"/>
                    <c:layout>
                      <c:manualLayout>
                        <c:x val="0"/>
                        <c:y val="-3.0476190476190546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</c:extLst>
                  </c15:dLbl>
                </c15:categoryFilterException>
              </c15:categoryFilterExceptions>
            </c:ext>
          </c:extLst>
        </c:ser>
        <c:marker val="1"/>
        <c:axId val="134926336"/>
        <c:axId val="135417856"/>
      </c:lineChart>
      <c:catAx>
        <c:axId val="1349263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5417856"/>
        <c:crosses val="autoZero"/>
        <c:auto val="1"/>
        <c:lblAlgn val="ctr"/>
        <c:lblOffset val="100"/>
      </c:catAx>
      <c:valAx>
        <c:axId val="1354178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4926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noFill/>
    <a:ln w="15875" cap="flat" cmpd="sng" algn="ctr">
      <a:solidFill>
        <a:schemeClr val="tx1">
          <a:lumMod val="95000"/>
          <a:lumOff val="5000"/>
          <a:alpha val="99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pt-BR" sz="1800" b="0" i="0" baseline="0">
                <a:effectLst/>
              </a:rPr>
              <a:t>Razão entre Divida Consolidada Líquida e Receita Corrente Líquida, Feira de Santana-BA, 2014.</a:t>
            </a:r>
            <a:r>
              <a:rPr lang="pt-BR" sz="1400" b="0" i="0" u="none" strike="noStrike" baseline="0">
                <a:effectLst/>
              </a:rPr>
              <a:t> </a:t>
            </a:r>
            <a:endParaRPr lang="pt-BR"/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1.5835312747426761E-3"/>
                  <c:y val="6.040992448759439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917656373713387E-3"/>
                  <c:y val="2.5889967637540479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917656373713387E-3"/>
                  <c:y val="-5.177993527508089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7.917656373713387E-3"/>
                  <c:y val="-2.5889967637540479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673000791765607E-2"/>
                  <c:y val="0.112189859762675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161242853368099E-16"/>
                  <c:y val="3.883495145631062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-3.8834951456310787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161242853368099E-16"/>
                  <c:y val="6.472491909385097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'FEIRA DE SANTANA'!$A$30:$A$37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'FEIRA DE SANTANA'!$A$24:$A$37</c15:sqref>
                  </c15:fullRef>
                </c:ext>
              </c:extLst>
            </c:numRef>
          </c:cat>
          <c:val>
            <c:numRef>
              <c:f>'FEIRA DE SANTANA'!$B$30:$B$37</c:f>
              <c:numCache>
                <c:formatCode>0.00%</c:formatCode>
                <c:ptCount val="8"/>
                <c:pt idx="0">
                  <c:v>0.1677848964409519</c:v>
                </c:pt>
                <c:pt idx="1">
                  <c:v>0.1930711278274963</c:v>
                </c:pt>
                <c:pt idx="2">
                  <c:v>0.31997875098031353</c:v>
                </c:pt>
                <c:pt idx="3">
                  <c:v>0.29221604100823695</c:v>
                </c:pt>
                <c:pt idx="4">
                  <c:v>0.22312435097344913</c:v>
                </c:pt>
                <c:pt idx="5">
                  <c:v>0.12070715898958768</c:v>
                </c:pt>
                <c:pt idx="6">
                  <c:v>0.13812960736726421</c:v>
                </c:pt>
                <c:pt idx="7">
                  <c:v>9.1772283904054133E-2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'FEIRA DE SANTANA'!$B$24:$B$37</c15:sqref>
                  </c15:fullRef>
                </c:ext>
              </c:extLst>
            </c:numRef>
          </c:val>
        </c:ser>
        <c:marker val="1"/>
        <c:axId val="136554752"/>
        <c:axId val="136597888"/>
      </c:lineChart>
      <c:catAx>
        <c:axId val="1365547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6597888"/>
        <c:crosses val="autoZero"/>
        <c:auto val="1"/>
        <c:lblAlgn val="ctr"/>
        <c:lblOffset val="100"/>
      </c:catAx>
      <c:valAx>
        <c:axId val="1365978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6554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19050" cap="flat" cmpd="sng" algn="ctr">
      <a:solidFill>
        <a:schemeClr val="tx1">
          <a:lumMod val="95000"/>
          <a:lumOff val="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800" b="0" i="0" baseline="0">
                <a:effectLst/>
              </a:rPr>
              <a:t>Variação comportamental da Divida Consolidada Líquida, Camaçari (R$ Milhões) </a:t>
            </a:r>
            <a:endParaRPr lang="pt-BR" sz="1400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2.798601140154520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833928893412527E-17"/>
                  <c:y val="3.998001628792155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5910898965791577E-3"/>
                  <c:y val="-4.7976019545506017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5910898965791577E-3"/>
                  <c:y val="3.998001628792155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7.9554494828959071E-3"/>
                  <c:y val="-5.59720228030903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3.598201465912945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-3.198401303033731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1667857786825054E-16"/>
                  <c:y val="-3.5982014659129501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9.5465393794751767E-3"/>
                  <c:y val="7.596203094705114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CAMAÇARI!$A$7:$A$15</c:f>
              <c:numCache>
                <c:formatCode>General</c:formatCod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CAMAÇARI!$A$2:$A$15</c15:sqref>
                  </c15:fullRef>
                </c:ext>
              </c:extLst>
            </c:numRef>
          </c:cat>
          <c:val>
            <c:numRef>
              <c:f>CAMAÇARI!$B$7:$B$15</c:f>
              <c:numCache>
                <c:formatCode>0.00</c:formatCode>
                <c:ptCount val="9"/>
                <c:pt idx="0">
                  <c:v>237.20674099999999</c:v>
                </c:pt>
                <c:pt idx="1">
                  <c:v>197.73521700000001</c:v>
                </c:pt>
                <c:pt idx="2">
                  <c:v>222.58462576999995</c:v>
                </c:pt>
                <c:pt idx="3">
                  <c:v>222.58462576999995</c:v>
                </c:pt>
                <c:pt idx="4">
                  <c:v>356.14169076000002</c:v>
                </c:pt>
                <c:pt idx="5">
                  <c:v>385.38694166000005</c:v>
                </c:pt>
                <c:pt idx="6">
                  <c:v>431.35743904000003</c:v>
                </c:pt>
                <c:pt idx="7">
                  <c:v>364.85669971999999</c:v>
                </c:pt>
                <c:pt idx="8">
                  <c:v>322.35817883000004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CAMAÇARI!$B$2:$B$15</c15:sqref>
                  </c15:fullRef>
                </c:ext>
              </c:extLst>
            </c:numRef>
          </c:val>
        </c:ser>
        <c:marker val="1"/>
        <c:axId val="136808704"/>
        <c:axId val="136831360"/>
      </c:lineChart>
      <c:catAx>
        <c:axId val="1368087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6831360"/>
        <c:crosses val="autoZero"/>
        <c:auto val="1"/>
        <c:lblAlgn val="ctr"/>
        <c:lblOffset val="100"/>
      </c:catAx>
      <c:valAx>
        <c:axId val="1368313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6808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19050" cap="flat" cmpd="sng" algn="ctr">
      <a:solidFill>
        <a:schemeClr val="tx1">
          <a:lumMod val="95000"/>
          <a:lumOff val="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600" b="0" i="0" baseline="0">
                <a:effectLst/>
              </a:rPr>
              <a:t>Variação comportamental da Divida Consolidada Líquida, Itabuna (R$ Milhões)</a:t>
            </a:r>
            <a:endParaRPr lang="pt-BR" sz="1600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6.07685433422698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8846249814441071E-2"/>
                  <c:y val="-7.506692911602412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4136621911430841E-2"/>
                  <c:y val="7.392379820035487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7735959900319436E-2"/>
                  <c:y val="5.133297325153603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9184652278177471E-2"/>
                  <c:y val="-8.579088471849874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5683378025400418E-2"/>
                  <c:y val="5.2666625986483417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8898174731768637E-2"/>
                  <c:y val="-5.586019802011859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7.9820347366326514E-3"/>
                  <c:y val="-7.1637536369016513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ITABUNA!$A$8:$A$15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ITABUNA!$A$2:$A$15</c15:sqref>
                  </c15:fullRef>
                </c:ext>
              </c:extLst>
            </c:numRef>
          </c:cat>
          <c:val>
            <c:numRef>
              <c:f>ITABUNA!$B$8:$B$15</c:f>
              <c:numCache>
                <c:formatCode>0.00</c:formatCode>
                <c:ptCount val="8"/>
                <c:pt idx="0">
                  <c:v>108.01357144999999</c:v>
                </c:pt>
                <c:pt idx="1">
                  <c:v>112.76961593999999</c:v>
                </c:pt>
                <c:pt idx="2">
                  <c:v>124.26842069000006</c:v>
                </c:pt>
                <c:pt idx="3">
                  <c:v>151.8457219</c:v>
                </c:pt>
                <c:pt idx="4">
                  <c:v>200.73898859000002</c:v>
                </c:pt>
                <c:pt idx="5">
                  <c:v>187.38714193000015</c:v>
                </c:pt>
                <c:pt idx="6">
                  <c:v>354.50525010000001</c:v>
                </c:pt>
                <c:pt idx="7">
                  <c:v>0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ITABUNA!$B$2:$B$15</c15:sqref>
                  </c15:fullRef>
                </c:ext>
              </c:extLst>
            </c:numRef>
          </c:val>
          <c:extLst>
            <c:ext xmlns:c15="http://schemas.microsoft.com/office/drawing/2012/chart" uri="{02D57815-91ED-43cb-92C2-25804820EDAC}">
              <c15:categoryFilterExceptions>
                <c15:categoryFilterException>
                  <c15:sqref>ITABUNA!$B$7</c15:sqref>
                  <c15:dLbl>
                    <c:idx val="-1"/>
                    <c:layout>
                      <c:manualLayout>
                        <c:x val="-2.3980815347721882E-2"/>
                        <c:y val="-7.864164432529044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</c:extLst>
                  </c15:dLbl>
                </c15:categoryFilterException>
              </c15:categoryFilterExceptions>
            </c:ext>
          </c:extLst>
        </c:ser>
        <c:marker val="1"/>
        <c:axId val="136015872"/>
        <c:axId val="136017408"/>
      </c:lineChart>
      <c:catAx>
        <c:axId val="1360158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6017408"/>
        <c:crosses val="autoZero"/>
        <c:auto val="1"/>
        <c:lblAlgn val="ctr"/>
        <c:lblOffset val="100"/>
      </c:catAx>
      <c:valAx>
        <c:axId val="1360174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6015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15875" cap="flat" cmpd="sng" algn="ctr">
      <a:solidFill>
        <a:schemeClr val="tx1">
          <a:lumMod val="95000"/>
          <a:lumOff val="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400" b="0" i="0" baseline="0">
                <a:effectLst/>
              </a:rPr>
              <a:t>Razão entre Divida Consolidada Líquida e Receita Corrente Líquida, Itabuna - BA, 2014.</a:t>
            </a:r>
            <a:endParaRPr lang="pt-BR" sz="1400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6.4141098295096193E-3"/>
                  <c:y val="-8.7309603993176013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6.033181548408926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2070549147548409E-3"/>
                  <c:y val="4.0221210322726117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2070549147548394E-2"/>
                  <c:y val="-9.6530904774542861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4.424333135499881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6.033181548408908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2916406093454875E-2"/>
                  <c:y val="-1.4028211409729239E-16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ITABUNA!$A$31:$A$38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ITABUNA!$A$25:$A$38</c15:sqref>
                  </c15:fullRef>
                </c:ext>
              </c:extLst>
            </c:numRef>
          </c:cat>
          <c:val>
            <c:numRef>
              <c:f>ITABUNA!$B$31:$B$38</c:f>
              <c:numCache>
                <c:formatCode>0.00%</c:formatCode>
                <c:ptCount val="8"/>
                <c:pt idx="0">
                  <c:v>0.55610750917581353</c:v>
                </c:pt>
                <c:pt idx="1">
                  <c:v>0.5464952146093085</c:v>
                </c:pt>
                <c:pt idx="2">
                  <c:v>0.50712479087663798</c:v>
                </c:pt>
                <c:pt idx="3">
                  <c:v>0.78489182728942186</c:v>
                </c:pt>
                <c:pt idx="4">
                  <c:v>1.109124826547528</c:v>
                </c:pt>
                <c:pt idx="5">
                  <c:v>0.69139532524910252</c:v>
                </c:pt>
                <c:pt idx="6">
                  <c:v>1.4775845685827205</c:v>
                </c:pt>
                <c:pt idx="7" formatCode="General">
                  <c:v>0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ITABUNA!$B$25:$B$38</c15:sqref>
                  </c15:fullRef>
                </c:ext>
              </c:extLst>
            </c:numRef>
          </c:val>
        </c:ser>
        <c:marker val="1"/>
        <c:axId val="136504448"/>
        <c:axId val="136505984"/>
      </c:lineChart>
      <c:catAx>
        <c:axId val="1365044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6505984"/>
        <c:crosses val="autoZero"/>
        <c:auto val="1"/>
        <c:lblAlgn val="ctr"/>
        <c:lblOffset val="100"/>
      </c:catAx>
      <c:valAx>
        <c:axId val="1365059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6504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19050" cap="flat" cmpd="sng" algn="ctr">
      <a:solidFill>
        <a:schemeClr val="tx1">
          <a:lumMod val="95000"/>
          <a:lumOff val="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2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83F78"/>
    <w:rsid w:val="00583F78"/>
    <w:rsid w:val="0096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6689DD31F9146BA8BD98F62C72A18FE">
    <w:name w:val="F6689DD31F9146BA8BD98F62C72A18FE"/>
    <w:rsid w:val="00583F7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E7B43-1F6B-4D50-844D-F6CC2941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5937</Words>
  <Characters>32063</Characters>
  <Application>Microsoft Office Word</Application>
  <DocSecurity>0</DocSecurity>
  <Lines>267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37925</CharactersWithSpaces>
  <SharedDoc>false</SharedDoc>
  <HLinks>
    <vt:vector size="66" baseType="variant">
      <vt:variant>
        <vt:i4>8126573</vt:i4>
      </vt:variant>
      <vt:variant>
        <vt:i4>30</vt:i4>
      </vt:variant>
      <vt:variant>
        <vt:i4>0</vt:i4>
      </vt:variant>
      <vt:variant>
        <vt:i4>5</vt:i4>
      </vt:variant>
      <vt:variant>
        <vt:lpwstr>http://www.teses.usp.br/teses/disponiveis/12/12138/tde-13012014-112630</vt:lpwstr>
      </vt:variant>
      <vt:variant>
        <vt:lpwstr/>
      </vt:variant>
      <vt:variant>
        <vt:i4>8323180</vt:i4>
      </vt:variant>
      <vt:variant>
        <vt:i4>27</vt:i4>
      </vt:variant>
      <vt:variant>
        <vt:i4>0</vt:i4>
      </vt:variant>
      <vt:variant>
        <vt:i4>5</vt:i4>
      </vt:variant>
      <vt:variant>
        <vt:lpwstr>http://www.teses.usp.br/teses/disponiveis/12/12138/tde-06052005-160301/</vt:lpwstr>
      </vt:variant>
      <vt:variant>
        <vt:lpwstr/>
      </vt:variant>
      <vt:variant>
        <vt:i4>7405654</vt:i4>
      </vt:variant>
      <vt:variant>
        <vt:i4>24</vt:i4>
      </vt:variant>
      <vt:variant>
        <vt:i4>0</vt:i4>
      </vt:variant>
      <vt:variant>
        <vt:i4>5</vt:i4>
      </vt:variant>
      <vt:variant>
        <vt:lpwstr>http://www.congressocfc.org.br/hotsite/trabalhos_1/334.pdf</vt:lpwstr>
      </vt:variant>
      <vt:variant>
        <vt:lpwstr/>
      </vt:variant>
      <vt:variant>
        <vt:i4>7929975</vt:i4>
      </vt:variant>
      <vt:variant>
        <vt:i4>21</vt:i4>
      </vt:variant>
      <vt:variant>
        <vt:i4>0</vt:i4>
      </vt:variant>
      <vt:variant>
        <vt:i4>5</vt:i4>
      </vt:variant>
      <vt:variant>
        <vt:lpwstr>http://www.stn.fazenda.gov.br/</vt:lpwstr>
      </vt:variant>
      <vt:variant>
        <vt:lpwstr/>
      </vt:variant>
      <vt:variant>
        <vt:i4>5177416</vt:i4>
      </vt:variant>
      <vt:variant>
        <vt:i4>18</vt:i4>
      </vt:variant>
      <vt:variant>
        <vt:i4>0</vt:i4>
      </vt:variant>
      <vt:variant>
        <vt:i4>5</vt:i4>
      </vt:variant>
      <vt:variant>
        <vt:lpwstr>http://www.senado.gov.br/</vt:lpwstr>
      </vt:variant>
      <vt:variant>
        <vt:lpwstr/>
      </vt:variant>
      <vt:variant>
        <vt:i4>6357031</vt:i4>
      </vt:variant>
      <vt:variant>
        <vt:i4>15</vt:i4>
      </vt:variant>
      <vt:variant>
        <vt:i4>0</vt:i4>
      </vt:variant>
      <vt:variant>
        <vt:i4>5</vt:i4>
      </vt:variant>
      <vt:variant>
        <vt:lpwstr>http://pt.wikipedia.org/wiki/Bahia</vt:lpwstr>
      </vt:variant>
      <vt:variant>
        <vt:lpwstr/>
      </vt:variant>
      <vt:variant>
        <vt:i4>8257545</vt:i4>
      </vt:variant>
      <vt:variant>
        <vt:i4>12</vt:i4>
      </vt:variant>
      <vt:variant>
        <vt:i4>0</vt:i4>
      </vt:variant>
      <vt:variant>
        <vt:i4>5</vt:i4>
      </vt:variant>
      <vt:variant>
        <vt:lpwstr>http://pt.wikipedia.org/wiki/Unidades_federativas_do_Brasil</vt:lpwstr>
      </vt:variant>
      <vt:variant>
        <vt:lpwstr/>
      </vt:variant>
      <vt:variant>
        <vt:i4>262145</vt:i4>
      </vt:variant>
      <vt:variant>
        <vt:i4>9</vt:i4>
      </vt:variant>
      <vt:variant>
        <vt:i4>0</vt:i4>
      </vt:variant>
      <vt:variant>
        <vt:i4>5</vt:i4>
      </vt:variant>
      <vt:variant>
        <vt:lpwstr>http://pt.wikipedia.org/wiki/Munic%C3%ADpios_do_Brasil</vt:lpwstr>
      </vt:variant>
      <vt:variant>
        <vt:lpwstr/>
      </vt:variant>
      <vt:variant>
        <vt:i4>589904</vt:i4>
      </vt:variant>
      <vt:variant>
        <vt:i4>6</vt:i4>
      </vt:variant>
      <vt:variant>
        <vt:i4>0</vt:i4>
      </vt:variant>
      <vt:variant>
        <vt:i4>5</vt:i4>
      </vt:variant>
      <vt:variant>
        <vt:lpwstr>http://pt.wikipedia.org/wiki/Popula%C3%A7%C3%A3o</vt:lpwstr>
      </vt:variant>
      <vt:variant>
        <vt:lpwstr/>
      </vt:variant>
      <vt:variant>
        <vt:i4>5242885</vt:i4>
      </vt:variant>
      <vt:variant>
        <vt:i4>3</vt:i4>
      </vt:variant>
      <vt:variant>
        <vt:i4>0</vt:i4>
      </vt:variant>
      <vt:variant>
        <vt:i4>5</vt:i4>
      </vt:variant>
      <vt:variant>
        <vt:lpwstr>http://pt.wikipedia.org/wiki/Interior_do_Brasil</vt:lpwstr>
      </vt:variant>
      <vt:variant>
        <vt:lpwstr/>
      </vt:variant>
      <vt:variant>
        <vt:i4>262239</vt:i4>
      </vt:variant>
      <vt:variant>
        <vt:i4>0</vt:i4>
      </vt:variant>
      <vt:variant>
        <vt:i4>0</vt:i4>
      </vt:variant>
      <vt:variant>
        <vt:i4>5</vt:i4>
      </vt:variant>
      <vt:variant>
        <vt:lpwstr>http://pt.wikipedia.org/wiki/Anexo:Lista_de_munic%C3%ADpios_da_Bahia_por_popula%C3%A7%C3%A3o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cp:lastModifiedBy>deboraleitao</cp:lastModifiedBy>
  <cp:revision>44</cp:revision>
  <dcterms:created xsi:type="dcterms:W3CDTF">2015-01-22T16:03:00Z</dcterms:created>
  <dcterms:modified xsi:type="dcterms:W3CDTF">2015-01-22T16:26:00Z</dcterms:modified>
</cp:coreProperties>
</file>